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E5C70" w14:textId="4C8222C8" w:rsidR="0065671A" w:rsidRPr="0065671A" w:rsidRDefault="0065671A" w:rsidP="0065671A">
      <w:pPr>
        <w:spacing w:before="100" w:beforeAutospacing="1" w:after="100" w:afterAutospacing="1" w:line="300" w:lineRule="atLeast"/>
        <w:jc w:val="center"/>
        <w:outlineLvl w:val="0"/>
        <w:rPr>
          <w:rFonts w:ascii="Segoe UI" w:eastAsia="Times New Roman" w:hAnsi="Segoe UI" w:cs="Segoe UI"/>
          <w:b/>
          <w:bCs/>
          <w:color w:val="000000"/>
          <w:kern w:val="36"/>
        </w:rPr>
      </w:pPr>
      <w:r>
        <w:rPr>
          <w:rFonts w:ascii="Segoe UI" w:eastAsia="Times New Roman" w:hAnsi="Segoe UI" w:cs="Segoe UI"/>
          <w:b/>
          <w:bCs/>
          <w:noProof/>
          <w:color w:val="000000"/>
          <w:kern w:val="36"/>
        </w:rPr>
        <w:drawing>
          <wp:inline distT="0" distB="0" distL="0" distR="0" wp14:anchorId="0D04CF70" wp14:editId="2E338BD1">
            <wp:extent cx="2548800" cy="442800"/>
            <wp:effectExtent l="0" t="0" r="4445" b="0"/>
            <wp:docPr id="1520429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8800" cy="442800"/>
                    </a:xfrm>
                    <a:prstGeom prst="rect">
                      <a:avLst/>
                    </a:prstGeom>
                    <a:noFill/>
                    <a:ln>
                      <a:noFill/>
                    </a:ln>
                  </pic:spPr>
                </pic:pic>
              </a:graphicData>
            </a:graphic>
          </wp:inline>
        </w:drawing>
      </w:r>
    </w:p>
    <w:p w14:paraId="31AA695B" w14:textId="0A878D3F" w:rsidR="000D5F6C" w:rsidRPr="000D5F6C" w:rsidRDefault="000D5F6C" w:rsidP="000D5F6C">
      <w:pPr>
        <w:spacing w:before="100" w:beforeAutospacing="1" w:after="100" w:afterAutospacing="1" w:line="300" w:lineRule="atLeast"/>
        <w:outlineLvl w:val="0"/>
        <w:rPr>
          <w:rFonts w:ascii="Segoe UI" w:eastAsia="Times New Roman" w:hAnsi="Segoe UI" w:cs="Segoe UI"/>
          <w:b/>
          <w:bCs/>
          <w:color w:val="000000"/>
          <w:kern w:val="36"/>
          <w:sz w:val="48"/>
          <w:szCs w:val="48"/>
        </w:rPr>
      </w:pPr>
      <w:r w:rsidRPr="000D5F6C">
        <w:rPr>
          <w:rFonts w:ascii="Segoe UI" w:eastAsia="Times New Roman" w:hAnsi="Segoe UI" w:cs="Segoe UI"/>
          <w:b/>
          <w:bCs/>
          <w:color w:val="000000"/>
          <w:kern w:val="36"/>
          <w:sz w:val="48"/>
          <w:szCs w:val="48"/>
        </w:rPr>
        <w:t>BRIEFING NOTE</w:t>
      </w:r>
    </w:p>
    <w:p w14:paraId="7198A917" w14:textId="77777777" w:rsidR="000D5F6C" w:rsidRPr="000D5F6C" w:rsidRDefault="000D5F6C" w:rsidP="000D5F6C">
      <w:pPr>
        <w:spacing w:before="100" w:beforeAutospacing="1" w:after="100" w:afterAutospacing="1" w:line="300" w:lineRule="atLeast"/>
        <w:outlineLvl w:val="1"/>
        <w:rPr>
          <w:rFonts w:ascii="Segoe UI" w:eastAsia="Times New Roman" w:hAnsi="Segoe UI" w:cs="Segoe UI"/>
          <w:b/>
          <w:bCs/>
          <w:color w:val="000000"/>
          <w:sz w:val="36"/>
          <w:szCs w:val="36"/>
        </w:rPr>
      </w:pPr>
      <w:r w:rsidRPr="000D5F6C">
        <w:rPr>
          <w:rFonts w:ascii="Segoe UI" w:eastAsia="Times New Roman" w:hAnsi="Segoe UI" w:cs="Segoe UI"/>
          <w:b/>
          <w:bCs/>
          <w:color w:val="000000"/>
          <w:sz w:val="36"/>
          <w:szCs w:val="36"/>
        </w:rPr>
        <w:t xml:space="preserve">You Owe </w:t>
      </w:r>
      <w:r>
        <w:rPr>
          <w:rFonts w:ascii="Segoe UI" w:eastAsia="Times New Roman" w:hAnsi="Segoe UI" w:cs="Segoe UI"/>
          <w:b/>
          <w:bCs/>
          <w:color w:val="000000"/>
          <w:sz w:val="36"/>
          <w:szCs w:val="36"/>
        </w:rPr>
        <w:t>Adult</w:t>
      </w:r>
      <w:r w:rsidRPr="000D5F6C">
        <w:rPr>
          <w:rFonts w:ascii="Segoe UI" w:eastAsia="Times New Roman" w:hAnsi="Segoe UI" w:cs="Segoe UI"/>
          <w:b/>
          <w:bCs/>
          <w:color w:val="000000"/>
          <w:sz w:val="36"/>
          <w:szCs w:val="36"/>
        </w:rPr>
        <w:t xml:space="preserve"> Children Costs, But Can You Still Enforce a US$16 Million Judgment Against Their Mother?</w:t>
      </w:r>
    </w:p>
    <w:p w14:paraId="089BB9D1" w14:textId="77777777" w:rsidR="000D5F6C" w:rsidRPr="000D5F6C" w:rsidRDefault="000D5F6C" w:rsidP="000D5F6C">
      <w:pPr>
        <w:spacing w:before="100" w:beforeAutospacing="1" w:after="100" w:afterAutospacing="1" w:line="300" w:lineRule="atLeast"/>
        <w:outlineLvl w:val="2"/>
        <w:rPr>
          <w:rFonts w:ascii="Segoe UI" w:eastAsia="Times New Roman" w:hAnsi="Segoe UI" w:cs="Segoe UI"/>
          <w:b/>
          <w:bCs/>
          <w:color w:val="000000"/>
          <w:sz w:val="27"/>
          <w:szCs w:val="27"/>
        </w:rPr>
      </w:pPr>
      <w:r>
        <w:rPr>
          <w:rFonts w:ascii="Segoe UI" w:eastAsia="Times New Roman" w:hAnsi="Segoe UI" w:cs="Segoe UI"/>
          <w:b/>
          <w:bCs/>
          <w:color w:val="000000"/>
          <w:sz w:val="27"/>
          <w:szCs w:val="27"/>
        </w:rPr>
        <w:t>High Court</w:t>
      </w:r>
      <w:r w:rsidRPr="000D5F6C">
        <w:rPr>
          <w:rFonts w:ascii="Segoe UI" w:eastAsia="Times New Roman" w:hAnsi="Segoe UI" w:cs="Segoe UI"/>
          <w:b/>
          <w:bCs/>
          <w:color w:val="000000"/>
          <w:sz w:val="27"/>
          <w:szCs w:val="27"/>
        </w:rPr>
        <w:t xml:space="preserve"> draws limits around the court's "pay to play" jurisdiction</w:t>
      </w:r>
    </w:p>
    <w:p w14:paraId="59342E1D" w14:textId="5078F082"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In </w:t>
      </w:r>
      <w:hyperlink r:id="rId6" w:history="1">
        <w:r w:rsidRPr="0065671A">
          <w:rPr>
            <w:rStyle w:val="Hyperlink"/>
            <w:rFonts w:ascii="Segoe UI" w:eastAsia="Times New Roman" w:hAnsi="Segoe UI" w:cs="Segoe UI"/>
            <w:b/>
            <w:bCs/>
            <w:sz w:val="21"/>
            <w:szCs w:val="21"/>
          </w:rPr>
          <w:t xml:space="preserve">Gupta v Shah &amp; Ors </w:t>
        </w:r>
        <w:r w:rsidRPr="0065671A">
          <w:rPr>
            <w:rStyle w:val="Hyperlink"/>
            <w:rFonts w:ascii="Segoe UI" w:eastAsia="Times New Roman" w:hAnsi="Segoe UI" w:cs="Segoe UI"/>
            <w:bCs/>
            <w:sz w:val="21"/>
            <w:szCs w:val="21"/>
          </w:rPr>
          <w:t>[2026] EWHC 2064 (Ch)</w:t>
        </w:r>
      </w:hyperlink>
      <w:r w:rsidR="008B4932">
        <w:rPr>
          <w:rFonts w:ascii="Segoe UI" w:eastAsia="Times New Roman" w:hAnsi="Segoe UI" w:cs="Segoe UI"/>
          <w:b/>
          <w:bCs/>
          <w:color w:val="000000"/>
          <w:sz w:val="21"/>
          <w:szCs w:val="21"/>
        </w:rPr>
        <w:t xml:space="preserve"> </w:t>
      </w:r>
      <w:r>
        <w:rPr>
          <w:rFonts w:ascii="Segoe UI" w:eastAsia="Times New Roman" w:hAnsi="Segoe UI" w:cs="Segoe UI"/>
          <w:color w:val="000000"/>
          <w:sz w:val="21"/>
          <w:szCs w:val="21"/>
        </w:rPr>
        <w:t xml:space="preserve">the High Court </w:t>
      </w:r>
      <w:r w:rsidRPr="000D5F6C">
        <w:rPr>
          <w:rFonts w:ascii="Segoe UI" w:eastAsia="Times New Roman" w:hAnsi="Segoe UI" w:cs="Segoe UI"/>
          <w:color w:val="000000"/>
          <w:sz w:val="21"/>
          <w:szCs w:val="21"/>
        </w:rPr>
        <w:t xml:space="preserve">rejected an attempt by two defendants to use unpaid </w:t>
      </w:r>
      <w:r>
        <w:rPr>
          <w:rFonts w:ascii="Segoe UI" w:eastAsia="Times New Roman" w:hAnsi="Segoe UI" w:cs="Segoe UI"/>
          <w:color w:val="000000"/>
          <w:sz w:val="21"/>
          <w:szCs w:val="21"/>
        </w:rPr>
        <w:t xml:space="preserve">interim </w:t>
      </w:r>
      <w:r w:rsidRPr="000D5F6C">
        <w:rPr>
          <w:rFonts w:ascii="Segoe UI" w:eastAsia="Times New Roman" w:hAnsi="Segoe UI" w:cs="Segoe UI"/>
          <w:color w:val="000000"/>
          <w:sz w:val="21"/>
          <w:szCs w:val="21"/>
        </w:rPr>
        <w:t xml:space="preserve">costs orders </w:t>
      </w:r>
      <w:r w:rsidR="008B4932">
        <w:rPr>
          <w:rFonts w:ascii="Segoe UI" w:eastAsia="Times New Roman" w:hAnsi="Segoe UI" w:cs="Segoe UI"/>
          <w:color w:val="000000"/>
          <w:sz w:val="21"/>
          <w:szCs w:val="21"/>
        </w:rPr>
        <w:t xml:space="preserve">in their favour </w:t>
      </w:r>
      <w:r w:rsidRPr="000D5F6C">
        <w:rPr>
          <w:rFonts w:ascii="Segoe UI" w:eastAsia="Times New Roman" w:hAnsi="Segoe UI" w:cs="Segoe UI"/>
          <w:color w:val="000000"/>
          <w:sz w:val="21"/>
          <w:szCs w:val="21"/>
        </w:rPr>
        <w:t>as a means of preventing continued enforcement of a judgment debt exceeding US$16 million against another defendant</w:t>
      </w:r>
      <w:r>
        <w:rPr>
          <w:rFonts w:ascii="Segoe UI" w:eastAsia="Times New Roman" w:hAnsi="Segoe UI" w:cs="Segoe UI"/>
          <w:color w:val="000000"/>
          <w:sz w:val="21"/>
          <w:szCs w:val="21"/>
        </w:rPr>
        <w:t>, their mother</w:t>
      </w:r>
      <w:r w:rsidRPr="000D5F6C">
        <w:rPr>
          <w:rFonts w:ascii="Segoe UI" w:eastAsia="Times New Roman" w:hAnsi="Segoe UI" w:cs="Segoe UI"/>
          <w:color w:val="000000"/>
          <w:sz w:val="21"/>
          <w:szCs w:val="21"/>
        </w:rPr>
        <w:t>. The decision contains significant guidance on costs-based debarring orders and is</w:t>
      </w:r>
      <w:r>
        <w:rPr>
          <w:rFonts w:ascii="Segoe UI" w:eastAsia="Times New Roman" w:hAnsi="Segoe UI" w:cs="Segoe UI"/>
          <w:color w:val="000000"/>
          <w:sz w:val="21"/>
          <w:szCs w:val="21"/>
        </w:rPr>
        <w:t xml:space="preserve"> the first reported case where the “pay-to-play” jurisdiction has been invoked in an attempt to bar (1) enforcement of a </w:t>
      </w:r>
      <w:r w:rsidRPr="002258CD">
        <w:rPr>
          <w:rFonts w:ascii="Segoe UI" w:eastAsia="Times New Roman" w:hAnsi="Segoe UI" w:cs="Segoe UI"/>
          <w:b/>
          <w:color w:val="000000"/>
          <w:sz w:val="21"/>
          <w:szCs w:val="21"/>
        </w:rPr>
        <w:t xml:space="preserve">final </w:t>
      </w:r>
      <w:r>
        <w:rPr>
          <w:rFonts w:ascii="Segoe UI" w:eastAsia="Times New Roman" w:hAnsi="Segoe UI" w:cs="Segoe UI"/>
          <w:color w:val="000000"/>
          <w:sz w:val="21"/>
          <w:szCs w:val="21"/>
        </w:rPr>
        <w:t>judgment</w:t>
      </w:r>
      <w:r w:rsidR="002258CD">
        <w:rPr>
          <w:rFonts w:ascii="Segoe UI" w:eastAsia="Times New Roman" w:hAnsi="Segoe UI" w:cs="Segoe UI"/>
          <w:color w:val="000000"/>
          <w:sz w:val="21"/>
          <w:szCs w:val="21"/>
        </w:rPr>
        <w:t xml:space="preserve"> </w:t>
      </w:r>
      <w:r>
        <w:rPr>
          <w:rFonts w:ascii="Segoe UI" w:eastAsia="Times New Roman" w:hAnsi="Segoe UI" w:cs="Segoe UI"/>
          <w:color w:val="000000"/>
          <w:sz w:val="21"/>
          <w:szCs w:val="21"/>
        </w:rPr>
        <w:t xml:space="preserve">(2) against a co-defendant who is not owed costs.    </w:t>
      </w:r>
    </w:p>
    <w:p w14:paraId="41D9E84D" w14:textId="77777777" w:rsidR="000D5F6C" w:rsidRPr="000D5F6C" w:rsidRDefault="000D5F6C" w:rsidP="000D5F6C">
      <w:pPr>
        <w:spacing w:before="100" w:beforeAutospacing="1" w:after="100" w:afterAutospacing="1" w:line="300" w:lineRule="atLeast"/>
        <w:outlineLvl w:val="1"/>
        <w:rPr>
          <w:rFonts w:ascii="Segoe UI" w:eastAsia="Times New Roman" w:hAnsi="Segoe UI" w:cs="Segoe UI"/>
          <w:b/>
          <w:bCs/>
          <w:color w:val="000000"/>
          <w:sz w:val="36"/>
          <w:szCs w:val="36"/>
        </w:rPr>
      </w:pPr>
      <w:r w:rsidRPr="000D5F6C">
        <w:rPr>
          <w:rFonts w:ascii="Segoe UI" w:eastAsia="Times New Roman" w:hAnsi="Segoe UI" w:cs="Segoe UI"/>
          <w:b/>
          <w:bCs/>
          <w:color w:val="000000"/>
          <w:sz w:val="36"/>
          <w:szCs w:val="36"/>
        </w:rPr>
        <w:t>Background</w:t>
      </w:r>
    </w:p>
    <w:p w14:paraId="5FB19CAD"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The decision is the latest in a substantial body of litigation arising from the misappropriation of approximately US$14</w:t>
      </w:r>
      <w:r>
        <w:rPr>
          <w:rFonts w:ascii="Segoe UI" w:eastAsia="Times New Roman" w:hAnsi="Segoe UI" w:cs="Segoe UI"/>
          <w:color w:val="000000"/>
          <w:sz w:val="21"/>
          <w:szCs w:val="21"/>
        </w:rPr>
        <w:t xml:space="preserve">M.  </w:t>
      </w:r>
    </w:p>
    <w:p w14:paraId="3BD4765C" w14:textId="4FA02BEB"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In </w:t>
      </w:r>
      <w:hyperlink r:id="rId7" w:history="1">
        <w:r w:rsidR="0065671A" w:rsidRPr="0065671A">
          <w:rPr>
            <w:rStyle w:val="Hyperlink"/>
            <w:rFonts w:ascii="Segoe UI" w:eastAsia="Times New Roman" w:hAnsi="Segoe UI" w:cs="Segoe UI"/>
            <w:b/>
            <w:bCs/>
            <w:sz w:val="21"/>
            <w:szCs w:val="21"/>
          </w:rPr>
          <w:t xml:space="preserve">Gupta v Shah </w:t>
        </w:r>
        <w:r w:rsidR="0065671A" w:rsidRPr="0065671A">
          <w:rPr>
            <w:rStyle w:val="Hyperlink"/>
            <w:rFonts w:ascii="Segoe UI" w:eastAsia="Times New Roman" w:hAnsi="Segoe UI" w:cs="Segoe UI"/>
            <w:sz w:val="21"/>
            <w:szCs w:val="21"/>
          </w:rPr>
          <w:t>[2023] EWHC 540 (Ch)</w:t>
        </w:r>
      </w:hyperlink>
      <w:r w:rsidRPr="008B4932">
        <w:rPr>
          <w:rFonts w:ascii="Segoe UI" w:eastAsia="Times New Roman" w:hAnsi="Segoe UI" w:cs="Segoe UI"/>
          <w:bCs/>
          <w:color w:val="000000"/>
          <w:sz w:val="21"/>
          <w:szCs w:val="21"/>
        </w:rPr>
        <w:t>)</w:t>
      </w:r>
      <w:r w:rsidR="0065671A">
        <w:rPr>
          <w:rFonts w:ascii="Segoe UI" w:eastAsia="Times New Roman" w:hAnsi="Segoe UI" w:cs="Segoe UI"/>
          <w:bCs/>
          <w:color w:val="000000"/>
          <w:sz w:val="21"/>
          <w:szCs w:val="21"/>
        </w:rPr>
        <w:t>,</w:t>
      </w:r>
      <w:r w:rsidRPr="000D5F6C">
        <w:rPr>
          <w:rFonts w:ascii="Segoe UI" w:eastAsia="Times New Roman" w:hAnsi="Segoe UI" w:cs="Segoe UI"/>
          <w:color w:val="000000"/>
          <w:sz w:val="21"/>
          <w:szCs w:val="21"/>
        </w:rPr>
        <w:t xml:space="preserve"> Sir Anthony Mann granted summary judgment against the First Defendant</w:t>
      </w:r>
      <w:r w:rsidR="00EA35CA">
        <w:rPr>
          <w:rFonts w:ascii="Segoe UI" w:eastAsia="Times New Roman" w:hAnsi="Segoe UI" w:cs="Segoe UI"/>
          <w:color w:val="000000"/>
          <w:sz w:val="21"/>
          <w:szCs w:val="21"/>
        </w:rPr>
        <w:t xml:space="preserve"> (the Third Defendant’s husband, and Fourth to Sixth Defendants’ father)</w:t>
      </w:r>
      <w:r w:rsidRPr="000D5F6C">
        <w:rPr>
          <w:rFonts w:ascii="Segoe UI" w:eastAsia="Times New Roman" w:hAnsi="Segoe UI" w:cs="Segoe UI"/>
          <w:color w:val="000000"/>
          <w:sz w:val="21"/>
          <w:szCs w:val="21"/>
        </w:rPr>
        <w:t>, finding that trust monies had been misappropriated</w:t>
      </w:r>
      <w:r w:rsidR="00EA35CA">
        <w:rPr>
          <w:rFonts w:ascii="Segoe UI" w:eastAsia="Times New Roman" w:hAnsi="Segoe UI" w:cs="Segoe UI"/>
          <w:color w:val="000000"/>
          <w:sz w:val="21"/>
          <w:szCs w:val="21"/>
        </w:rPr>
        <w:t xml:space="preserve">.  </w:t>
      </w:r>
      <w:r w:rsidRPr="000D5F6C">
        <w:rPr>
          <w:rFonts w:ascii="Segoe UI" w:eastAsia="Times New Roman" w:hAnsi="Segoe UI" w:cs="Segoe UI"/>
          <w:color w:val="000000"/>
          <w:sz w:val="21"/>
          <w:szCs w:val="21"/>
        </w:rPr>
        <w:t xml:space="preserve">The judgment also upheld substantial proprietary claims against </w:t>
      </w:r>
      <w:r w:rsidR="00EA35CA">
        <w:rPr>
          <w:rFonts w:ascii="Segoe UI" w:eastAsia="Times New Roman" w:hAnsi="Segoe UI" w:cs="Segoe UI"/>
          <w:color w:val="000000"/>
          <w:sz w:val="21"/>
          <w:szCs w:val="21"/>
        </w:rPr>
        <w:t>all</w:t>
      </w:r>
      <w:r w:rsidRPr="000D5F6C">
        <w:rPr>
          <w:rFonts w:ascii="Segoe UI" w:eastAsia="Times New Roman" w:hAnsi="Segoe UI" w:cs="Segoe UI"/>
          <w:color w:val="000000"/>
          <w:sz w:val="21"/>
          <w:szCs w:val="21"/>
        </w:rPr>
        <w:t xml:space="preserve"> members of the Shah family. </w:t>
      </w:r>
      <w:r w:rsidR="00EA35CA" w:rsidRPr="000D5F6C">
        <w:rPr>
          <w:rFonts w:ascii="Segoe UI" w:eastAsia="Times New Roman" w:hAnsi="Segoe UI" w:cs="Segoe UI"/>
          <w:color w:val="000000"/>
          <w:sz w:val="21"/>
          <w:szCs w:val="21"/>
        </w:rPr>
        <w:t xml:space="preserve"> </w:t>
      </w:r>
    </w:p>
    <w:p w14:paraId="60CD7545" w14:textId="6AAC74AC"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Subsequently, in </w:t>
      </w:r>
      <w:hyperlink r:id="rId8" w:history="1">
        <w:r w:rsidRPr="0065671A">
          <w:rPr>
            <w:rStyle w:val="Hyperlink"/>
            <w:rFonts w:ascii="Segoe UI" w:eastAsia="Times New Roman" w:hAnsi="Segoe UI" w:cs="Segoe UI"/>
            <w:b/>
            <w:bCs/>
            <w:sz w:val="21"/>
            <w:szCs w:val="21"/>
          </w:rPr>
          <w:t xml:space="preserve">Gupta v Shah </w:t>
        </w:r>
        <w:r w:rsidRPr="0065671A">
          <w:rPr>
            <w:rStyle w:val="Hyperlink"/>
            <w:rFonts w:ascii="Segoe UI" w:eastAsia="Times New Roman" w:hAnsi="Segoe UI" w:cs="Segoe UI"/>
            <w:bCs/>
            <w:sz w:val="21"/>
            <w:szCs w:val="21"/>
          </w:rPr>
          <w:t>[2024] EWHC 1189 (Ch)</w:t>
        </w:r>
      </w:hyperlink>
      <w:r w:rsidR="0065671A">
        <w:rPr>
          <w:rFonts w:ascii="Segoe UI" w:eastAsia="Times New Roman" w:hAnsi="Segoe UI" w:cs="Segoe UI"/>
          <w:b/>
          <w:bCs/>
          <w:color w:val="000000"/>
          <w:sz w:val="21"/>
          <w:szCs w:val="21"/>
          <w:u w:val="single"/>
        </w:rPr>
        <w:t>,</w:t>
      </w:r>
      <w:r w:rsidR="008B4932">
        <w:rPr>
          <w:rFonts w:ascii="Segoe UI" w:eastAsia="Times New Roman" w:hAnsi="Segoe UI" w:cs="Segoe UI"/>
          <w:b/>
          <w:bCs/>
          <w:color w:val="000000"/>
          <w:sz w:val="21"/>
          <w:szCs w:val="21"/>
        </w:rPr>
        <w:t xml:space="preserve"> </w:t>
      </w:r>
      <w:proofErr w:type="spellStart"/>
      <w:r w:rsidRPr="000D5F6C">
        <w:rPr>
          <w:rFonts w:ascii="Segoe UI" w:eastAsia="Times New Roman" w:hAnsi="Segoe UI" w:cs="Segoe UI"/>
          <w:color w:val="000000"/>
          <w:sz w:val="21"/>
          <w:szCs w:val="21"/>
        </w:rPr>
        <w:t>Thompsell</w:t>
      </w:r>
      <w:proofErr w:type="spellEnd"/>
      <w:r w:rsidRPr="000D5F6C">
        <w:rPr>
          <w:rFonts w:ascii="Segoe UI" w:eastAsia="Times New Roman" w:hAnsi="Segoe UI" w:cs="Segoe UI"/>
          <w:color w:val="000000"/>
          <w:sz w:val="21"/>
          <w:szCs w:val="21"/>
        </w:rPr>
        <w:t xml:space="preserve"> J made a debarring order against the Third Defendant, Mrs Shah, who had previously received and dealt with large amounts of the misappropriated funds</w:t>
      </w:r>
      <w:r w:rsidR="00EA35CA">
        <w:rPr>
          <w:rFonts w:ascii="Segoe UI" w:eastAsia="Times New Roman" w:hAnsi="Segoe UI" w:cs="Segoe UI"/>
          <w:color w:val="000000"/>
          <w:sz w:val="21"/>
          <w:szCs w:val="21"/>
        </w:rPr>
        <w:t xml:space="preserve">, and entered judgement against her </w:t>
      </w:r>
      <w:proofErr w:type="gramStart"/>
      <w:r w:rsidR="00EA35CA">
        <w:rPr>
          <w:rFonts w:ascii="Segoe UI" w:eastAsia="Times New Roman" w:hAnsi="Segoe UI" w:cs="Segoe UI"/>
          <w:color w:val="000000"/>
          <w:sz w:val="21"/>
          <w:szCs w:val="21"/>
        </w:rPr>
        <w:t>in excess of</w:t>
      </w:r>
      <w:proofErr w:type="gramEnd"/>
      <w:r w:rsidR="00EA35CA">
        <w:rPr>
          <w:rFonts w:ascii="Segoe UI" w:eastAsia="Times New Roman" w:hAnsi="Segoe UI" w:cs="Segoe UI"/>
          <w:color w:val="000000"/>
          <w:sz w:val="21"/>
          <w:szCs w:val="21"/>
        </w:rPr>
        <w:t xml:space="preserve"> US$16M</w:t>
      </w:r>
      <w:r w:rsidR="0065671A">
        <w:rPr>
          <w:rFonts w:ascii="Segoe UI" w:eastAsia="Times New Roman" w:hAnsi="Segoe UI" w:cs="Segoe UI"/>
          <w:color w:val="464FEB"/>
          <w:sz w:val="21"/>
          <w:szCs w:val="21"/>
          <w:u w:val="single"/>
        </w:rPr>
        <w:t>.</w:t>
      </w:r>
      <w:r w:rsidR="00EA35CA" w:rsidRPr="000D5F6C">
        <w:rPr>
          <w:rFonts w:ascii="Segoe UI" w:eastAsia="Times New Roman" w:hAnsi="Segoe UI" w:cs="Segoe UI"/>
          <w:color w:val="000000"/>
          <w:sz w:val="21"/>
          <w:szCs w:val="21"/>
        </w:rPr>
        <w:t xml:space="preserve"> </w:t>
      </w:r>
    </w:p>
    <w:p w14:paraId="4518CDB4"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The Fourth and Sixth Defendants</w:t>
      </w:r>
      <w:r w:rsidR="00EA35CA">
        <w:rPr>
          <w:rFonts w:ascii="Segoe UI" w:eastAsia="Times New Roman" w:hAnsi="Segoe UI" w:cs="Segoe UI"/>
          <w:color w:val="000000"/>
          <w:sz w:val="21"/>
          <w:szCs w:val="21"/>
        </w:rPr>
        <w:t xml:space="preserve"> at an unopposed hearing</w:t>
      </w:r>
      <w:r w:rsidRPr="000D5F6C">
        <w:rPr>
          <w:rFonts w:ascii="Segoe UI" w:eastAsia="Times New Roman" w:hAnsi="Segoe UI" w:cs="Segoe UI"/>
          <w:color w:val="000000"/>
          <w:sz w:val="21"/>
          <w:szCs w:val="21"/>
        </w:rPr>
        <w:t xml:space="preserve"> later obtained reverse summary judgment dismissing the continuing claims against them and secured costs orders in their favour, including payments on account totalling £130,00</w:t>
      </w:r>
      <w:r w:rsidR="00EA35CA">
        <w:rPr>
          <w:rFonts w:ascii="Segoe UI" w:eastAsia="Times New Roman" w:hAnsi="Segoe UI" w:cs="Segoe UI"/>
          <w:color w:val="000000"/>
          <w:sz w:val="21"/>
          <w:szCs w:val="21"/>
        </w:rPr>
        <w:t xml:space="preserve">0.  </w:t>
      </w:r>
    </w:p>
    <w:p w14:paraId="639852F9"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Rather than pursuing conventional enforcement methods</w:t>
      </w:r>
      <w:r w:rsidR="002258CD">
        <w:rPr>
          <w:rFonts w:ascii="Segoe UI" w:eastAsia="Times New Roman" w:hAnsi="Segoe UI" w:cs="Segoe UI"/>
          <w:color w:val="000000"/>
          <w:sz w:val="21"/>
          <w:szCs w:val="21"/>
        </w:rPr>
        <w:t xml:space="preserve"> in respect of the £130,000,</w:t>
      </w:r>
      <w:r w:rsidRPr="000D5F6C">
        <w:rPr>
          <w:rFonts w:ascii="Segoe UI" w:eastAsia="Times New Roman" w:hAnsi="Segoe UI" w:cs="Segoe UI"/>
          <w:color w:val="000000"/>
          <w:sz w:val="21"/>
          <w:szCs w:val="21"/>
        </w:rPr>
        <w:t xml:space="preserve"> the</w:t>
      </w:r>
      <w:r w:rsidR="00EA35CA">
        <w:rPr>
          <w:rFonts w:ascii="Segoe UI" w:eastAsia="Times New Roman" w:hAnsi="Segoe UI" w:cs="Segoe UI"/>
          <w:color w:val="000000"/>
          <w:sz w:val="21"/>
          <w:szCs w:val="21"/>
        </w:rPr>
        <w:t xml:space="preserve"> Fourth and Sixth</w:t>
      </w:r>
      <w:r w:rsidRPr="000D5F6C">
        <w:rPr>
          <w:rFonts w:ascii="Segoe UI" w:eastAsia="Times New Roman" w:hAnsi="Segoe UI" w:cs="Segoe UI"/>
          <w:color w:val="000000"/>
          <w:sz w:val="21"/>
          <w:szCs w:val="21"/>
        </w:rPr>
        <w:t xml:space="preserve"> </w:t>
      </w:r>
      <w:r w:rsidR="00611FFE">
        <w:rPr>
          <w:rFonts w:ascii="Segoe UI" w:eastAsia="Times New Roman" w:hAnsi="Segoe UI" w:cs="Segoe UI"/>
          <w:color w:val="000000"/>
          <w:sz w:val="21"/>
          <w:szCs w:val="21"/>
        </w:rPr>
        <w:t xml:space="preserve">defendants </w:t>
      </w:r>
      <w:r w:rsidRPr="000D5F6C">
        <w:rPr>
          <w:rFonts w:ascii="Segoe UI" w:eastAsia="Times New Roman" w:hAnsi="Segoe UI" w:cs="Segoe UI"/>
          <w:color w:val="000000"/>
          <w:sz w:val="21"/>
          <w:szCs w:val="21"/>
        </w:rPr>
        <w:t xml:space="preserve">applied for an unless order providing that unless those costs were paid, the Claimants would be debarred from any further participation in the proceedings. The practical effect would have been to prevent continued enforcement activity against the Third Defendant, their mother, who remained subject to </w:t>
      </w:r>
      <w:r w:rsidR="008B4932">
        <w:rPr>
          <w:rFonts w:ascii="Segoe UI" w:eastAsia="Times New Roman" w:hAnsi="Segoe UI" w:cs="Segoe UI"/>
          <w:color w:val="000000"/>
          <w:sz w:val="21"/>
          <w:szCs w:val="21"/>
        </w:rPr>
        <w:t>the</w:t>
      </w:r>
      <w:r w:rsidRPr="000D5F6C">
        <w:rPr>
          <w:rFonts w:ascii="Segoe UI" w:eastAsia="Times New Roman" w:hAnsi="Segoe UI" w:cs="Segoe UI"/>
          <w:color w:val="000000"/>
          <w:sz w:val="21"/>
          <w:szCs w:val="21"/>
        </w:rPr>
        <w:t xml:space="preserve"> very substantial unsatisfied judgment debt. </w:t>
      </w:r>
      <w:r w:rsidR="00EA35CA" w:rsidRPr="000D5F6C">
        <w:rPr>
          <w:rFonts w:ascii="Segoe UI" w:eastAsia="Times New Roman" w:hAnsi="Segoe UI" w:cs="Segoe UI"/>
          <w:color w:val="000000"/>
          <w:sz w:val="21"/>
          <w:szCs w:val="21"/>
        </w:rPr>
        <w:t xml:space="preserve"> </w:t>
      </w:r>
    </w:p>
    <w:p w14:paraId="65B3F977" w14:textId="77777777" w:rsidR="000D5F6C" w:rsidRPr="000D5F6C" w:rsidRDefault="000D5F6C" w:rsidP="000D5F6C">
      <w:pPr>
        <w:spacing w:before="100" w:beforeAutospacing="1" w:after="100" w:afterAutospacing="1" w:line="300" w:lineRule="atLeast"/>
        <w:outlineLvl w:val="1"/>
        <w:rPr>
          <w:rFonts w:ascii="Segoe UI" w:eastAsia="Times New Roman" w:hAnsi="Segoe UI" w:cs="Segoe UI"/>
          <w:b/>
          <w:bCs/>
          <w:color w:val="000000"/>
          <w:sz w:val="36"/>
          <w:szCs w:val="36"/>
        </w:rPr>
      </w:pPr>
      <w:r w:rsidRPr="000D5F6C">
        <w:rPr>
          <w:rFonts w:ascii="Segoe UI" w:eastAsia="Times New Roman" w:hAnsi="Segoe UI" w:cs="Segoe UI"/>
          <w:b/>
          <w:bCs/>
          <w:color w:val="000000"/>
          <w:sz w:val="36"/>
          <w:szCs w:val="36"/>
        </w:rPr>
        <w:lastRenderedPageBreak/>
        <w:t>The Claimants' position</w:t>
      </w:r>
    </w:p>
    <w:p w14:paraId="4476305C"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On behalf of the Claimants, Marc Glover argued that:</w:t>
      </w:r>
    </w:p>
    <w:p w14:paraId="052A0301" w14:textId="77777777" w:rsidR="000D5F6C" w:rsidRPr="000D5F6C" w:rsidRDefault="000D5F6C" w:rsidP="000D5F6C">
      <w:pPr>
        <w:numPr>
          <w:ilvl w:val="0"/>
          <w:numId w:val="1"/>
        </w:num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 xml:space="preserve">the authorities did not support the use of a </w:t>
      </w:r>
      <w:r w:rsidR="002258CD">
        <w:rPr>
          <w:rFonts w:ascii="Segoe UI" w:eastAsia="Times New Roman" w:hAnsi="Segoe UI" w:cs="Segoe UI"/>
          <w:color w:val="000000"/>
          <w:sz w:val="21"/>
          <w:szCs w:val="21"/>
        </w:rPr>
        <w:t xml:space="preserve">“pay-to-play” jurisdiction </w:t>
      </w:r>
      <w:r w:rsidRPr="000D5F6C">
        <w:rPr>
          <w:rFonts w:ascii="Segoe UI" w:eastAsia="Times New Roman" w:hAnsi="Segoe UI" w:cs="Segoe UI"/>
          <w:color w:val="000000"/>
          <w:sz w:val="21"/>
          <w:szCs w:val="21"/>
        </w:rPr>
        <w:t>to prevent enforcement against a different defendant;</w:t>
      </w:r>
    </w:p>
    <w:p w14:paraId="37C1FF14" w14:textId="77777777" w:rsidR="000D5F6C" w:rsidRDefault="000D5F6C" w:rsidP="000D5F6C">
      <w:pPr>
        <w:numPr>
          <w:ilvl w:val="0"/>
          <w:numId w:val="1"/>
        </w:num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 xml:space="preserve">the jurisdiction was fundamentally directed towards </w:t>
      </w:r>
      <w:r w:rsidR="00EA35CA">
        <w:rPr>
          <w:rFonts w:ascii="Segoe UI" w:eastAsia="Times New Roman" w:hAnsi="Segoe UI" w:cs="Segoe UI"/>
          <w:color w:val="000000"/>
          <w:sz w:val="21"/>
          <w:szCs w:val="21"/>
        </w:rPr>
        <w:t xml:space="preserve">halting </w:t>
      </w:r>
      <w:r w:rsidRPr="000D5F6C">
        <w:rPr>
          <w:rFonts w:ascii="Segoe UI" w:eastAsia="Times New Roman" w:hAnsi="Segoe UI" w:cs="Segoe UI"/>
          <w:color w:val="000000"/>
          <w:sz w:val="21"/>
          <w:szCs w:val="21"/>
        </w:rPr>
        <w:t xml:space="preserve">participation </w:t>
      </w:r>
      <w:r w:rsidR="008B4932">
        <w:rPr>
          <w:rFonts w:ascii="Segoe UI" w:eastAsia="Times New Roman" w:hAnsi="Segoe UI" w:cs="Segoe UI"/>
          <w:color w:val="000000"/>
          <w:sz w:val="21"/>
          <w:szCs w:val="21"/>
        </w:rPr>
        <w:t xml:space="preserve">by the non-paying party </w:t>
      </w:r>
      <w:r w:rsidRPr="000D5F6C">
        <w:rPr>
          <w:rFonts w:ascii="Segoe UI" w:eastAsia="Times New Roman" w:hAnsi="Segoe UI" w:cs="Segoe UI"/>
          <w:color w:val="000000"/>
          <w:sz w:val="21"/>
          <w:szCs w:val="21"/>
        </w:rPr>
        <w:t>in live litigation, not the enforcement of final judgments already obtained. </w:t>
      </w:r>
      <w:r w:rsidR="00EA35CA" w:rsidRPr="000D5F6C">
        <w:rPr>
          <w:rFonts w:ascii="Segoe UI" w:eastAsia="Times New Roman" w:hAnsi="Segoe UI" w:cs="Segoe UI"/>
          <w:color w:val="000000"/>
          <w:sz w:val="21"/>
          <w:szCs w:val="21"/>
        </w:rPr>
        <w:t xml:space="preserve"> </w:t>
      </w:r>
    </w:p>
    <w:p w14:paraId="28636135" w14:textId="77777777" w:rsidR="00EA35CA" w:rsidRPr="000D5F6C" w:rsidRDefault="00EA35CA" w:rsidP="00EA35CA">
      <w:pPr>
        <w:numPr>
          <w:ilvl w:val="0"/>
          <w:numId w:val="1"/>
        </w:numPr>
        <w:spacing w:before="100" w:beforeAutospacing="1" w:after="100" w:afterAutospacing="1" w:line="300" w:lineRule="atLeast"/>
        <w:rPr>
          <w:rFonts w:ascii="Segoe UI" w:eastAsia="Times New Roman" w:hAnsi="Segoe UI" w:cs="Segoe UI"/>
          <w:color w:val="000000"/>
          <w:sz w:val="21"/>
          <w:szCs w:val="21"/>
        </w:rPr>
      </w:pPr>
      <w:r>
        <w:rPr>
          <w:rFonts w:ascii="Segoe UI" w:eastAsia="Times New Roman" w:hAnsi="Segoe UI" w:cs="Segoe UI"/>
          <w:color w:val="000000"/>
          <w:sz w:val="21"/>
          <w:szCs w:val="21"/>
        </w:rPr>
        <w:t xml:space="preserve">In any event </w:t>
      </w:r>
      <w:r w:rsidRPr="000D5F6C">
        <w:rPr>
          <w:rFonts w:ascii="Segoe UI" w:eastAsia="Times New Roman" w:hAnsi="Segoe UI" w:cs="Segoe UI"/>
          <w:color w:val="000000"/>
          <w:sz w:val="21"/>
          <w:szCs w:val="21"/>
        </w:rPr>
        <w:t>substantial costs orders also existed in the Claimants' favour against the Fourth</w:t>
      </w:r>
      <w:r>
        <w:rPr>
          <w:rFonts w:ascii="Segoe UI" w:eastAsia="Times New Roman" w:hAnsi="Segoe UI" w:cs="Segoe UI"/>
          <w:color w:val="000000"/>
          <w:sz w:val="21"/>
          <w:szCs w:val="21"/>
        </w:rPr>
        <w:t xml:space="preserve"> </w:t>
      </w:r>
      <w:r w:rsidRPr="000D5F6C">
        <w:rPr>
          <w:rFonts w:ascii="Segoe UI" w:eastAsia="Times New Roman" w:hAnsi="Segoe UI" w:cs="Segoe UI"/>
          <w:color w:val="000000"/>
          <w:sz w:val="21"/>
          <w:szCs w:val="21"/>
        </w:rPr>
        <w:t>and Sixth Defendants;</w:t>
      </w:r>
    </w:p>
    <w:p w14:paraId="0794F7EA" w14:textId="77777777" w:rsidR="00EA35CA" w:rsidRPr="000D5F6C" w:rsidRDefault="00EA35CA" w:rsidP="00EA35CA">
      <w:pPr>
        <w:numPr>
          <w:ilvl w:val="0"/>
          <w:numId w:val="1"/>
        </w:num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those cross-costs liabilities could potentially o</w:t>
      </w:r>
      <w:r w:rsidR="008B4932">
        <w:rPr>
          <w:rFonts w:ascii="Segoe UI" w:eastAsia="Times New Roman" w:hAnsi="Segoe UI" w:cs="Segoe UI"/>
          <w:color w:val="000000"/>
          <w:sz w:val="21"/>
          <w:szCs w:val="21"/>
        </w:rPr>
        <w:t>ver-</w:t>
      </w:r>
      <w:r w:rsidR="002258CD">
        <w:rPr>
          <w:rFonts w:ascii="Segoe UI" w:eastAsia="Times New Roman" w:hAnsi="Segoe UI" w:cs="Segoe UI"/>
          <w:color w:val="000000"/>
          <w:sz w:val="21"/>
          <w:szCs w:val="21"/>
        </w:rPr>
        <w:t xml:space="preserve">top </w:t>
      </w:r>
      <w:r w:rsidRPr="000D5F6C">
        <w:rPr>
          <w:rFonts w:ascii="Segoe UI" w:eastAsia="Times New Roman" w:hAnsi="Segoe UI" w:cs="Segoe UI"/>
          <w:color w:val="000000"/>
          <w:sz w:val="21"/>
          <w:szCs w:val="21"/>
        </w:rPr>
        <w:t xml:space="preserve">or significantly reduce </w:t>
      </w:r>
      <w:r w:rsidR="002258CD">
        <w:rPr>
          <w:rFonts w:ascii="Segoe UI" w:eastAsia="Times New Roman" w:hAnsi="Segoe UI" w:cs="Segoe UI"/>
          <w:color w:val="000000"/>
          <w:sz w:val="21"/>
          <w:szCs w:val="21"/>
        </w:rPr>
        <w:t xml:space="preserve">by offset </w:t>
      </w:r>
      <w:r w:rsidRPr="000D5F6C">
        <w:rPr>
          <w:rFonts w:ascii="Segoe UI" w:eastAsia="Times New Roman" w:hAnsi="Segoe UI" w:cs="Segoe UI"/>
          <w:color w:val="000000"/>
          <w:sz w:val="21"/>
          <w:szCs w:val="21"/>
        </w:rPr>
        <w:t xml:space="preserve">the </w:t>
      </w:r>
      <w:r w:rsidR="002258CD">
        <w:rPr>
          <w:rFonts w:ascii="Segoe UI" w:eastAsia="Times New Roman" w:hAnsi="Segoe UI" w:cs="Segoe UI"/>
          <w:color w:val="000000"/>
          <w:sz w:val="21"/>
          <w:szCs w:val="21"/>
        </w:rPr>
        <w:t xml:space="preserve">Fourth and Sixth Defendants’ </w:t>
      </w:r>
      <w:r w:rsidRPr="000D5F6C">
        <w:rPr>
          <w:rFonts w:ascii="Segoe UI" w:eastAsia="Times New Roman" w:hAnsi="Segoe UI" w:cs="Segoe UI"/>
          <w:color w:val="000000"/>
          <w:sz w:val="21"/>
          <w:szCs w:val="21"/>
        </w:rPr>
        <w:t>costs entitlement;</w:t>
      </w:r>
    </w:p>
    <w:p w14:paraId="78F76E52" w14:textId="77777777" w:rsidR="000D5F6C" w:rsidRPr="000D5F6C" w:rsidRDefault="000D5F6C" w:rsidP="000D5F6C">
      <w:pPr>
        <w:spacing w:before="100" w:beforeAutospacing="1" w:after="100" w:afterAutospacing="1" w:line="300" w:lineRule="atLeast"/>
        <w:outlineLvl w:val="1"/>
        <w:rPr>
          <w:rFonts w:ascii="Segoe UI" w:eastAsia="Times New Roman" w:hAnsi="Segoe UI" w:cs="Segoe UI"/>
          <w:b/>
          <w:bCs/>
          <w:color w:val="000000"/>
          <w:sz w:val="36"/>
          <w:szCs w:val="36"/>
        </w:rPr>
      </w:pPr>
      <w:r w:rsidRPr="000D5F6C">
        <w:rPr>
          <w:rFonts w:ascii="Segoe UI" w:eastAsia="Times New Roman" w:hAnsi="Segoe UI" w:cs="Segoe UI"/>
          <w:b/>
          <w:bCs/>
          <w:color w:val="000000"/>
          <w:sz w:val="36"/>
          <w:szCs w:val="36"/>
        </w:rPr>
        <w:t>The decision</w:t>
      </w:r>
    </w:p>
    <w:p w14:paraId="47504756" w14:textId="77777777" w:rsidR="000D5F6C" w:rsidRPr="000D5F6C" w:rsidRDefault="00EA35CA" w:rsidP="000D5F6C">
      <w:pPr>
        <w:spacing w:before="100" w:beforeAutospacing="1" w:after="100" w:afterAutospacing="1" w:line="300" w:lineRule="atLeast"/>
        <w:rPr>
          <w:rFonts w:ascii="Segoe UI" w:eastAsia="Times New Roman" w:hAnsi="Segoe UI" w:cs="Segoe UI"/>
          <w:color w:val="000000"/>
          <w:sz w:val="21"/>
          <w:szCs w:val="21"/>
        </w:rPr>
      </w:pPr>
      <w:r>
        <w:rPr>
          <w:rFonts w:ascii="Segoe UI" w:eastAsia="Times New Roman" w:hAnsi="Segoe UI" w:cs="Segoe UI"/>
          <w:color w:val="000000"/>
          <w:sz w:val="21"/>
          <w:szCs w:val="21"/>
        </w:rPr>
        <w:t>The High Court</w:t>
      </w:r>
      <w:r w:rsidR="000D5F6C" w:rsidRPr="000D5F6C">
        <w:rPr>
          <w:rFonts w:ascii="Segoe UI" w:eastAsia="Times New Roman" w:hAnsi="Segoe UI" w:cs="Segoe UI"/>
          <w:color w:val="000000"/>
          <w:sz w:val="21"/>
          <w:szCs w:val="21"/>
        </w:rPr>
        <w:t xml:space="preserve"> dismissed the application.</w:t>
      </w:r>
    </w:p>
    <w:p w14:paraId="6DCD7858"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Significantly, the court recorded that the applicants' purpose was not to prevent proceedings against them. Their involvement in the substantive litigation had already concluded. Rather, the application was being used as a form of "leverage" to secure payment of costs</w:t>
      </w:r>
      <w:r w:rsidR="00EA35CA">
        <w:rPr>
          <w:rFonts w:ascii="Segoe UI" w:eastAsia="Times New Roman" w:hAnsi="Segoe UI" w:cs="Segoe UI"/>
          <w:color w:val="000000"/>
          <w:sz w:val="21"/>
          <w:szCs w:val="21"/>
        </w:rPr>
        <w:t xml:space="preserve"> by stalling enforcement against their mother.</w:t>
      </w:r>
    </w:p>
    <w:p w14:paraId="7E8EBA75" w14:textId="77777777" w:rsidR="000D5F6C" w:rsidRPr="000D5F6C" w:rsidRDefault="000D5F6C" w:rsidP="000D5F6C">
      <w:pPr>
        <w:spacing w:before="100" w:beforeAutospacing="1" w:after="100" w:afterAutospacing="1" w:line="300" w:lineRule="atLeast"/>
        <w:outlineLvl w:val="1"/>
        <w:rPr>
          <w:rFonts w:ascii="Segoe UI" w:eastAsia="Times New Roman" w:hAnsi="Segoe UI" w:cs="Segoe UI"/>
          <w:b/>
          <w:bCs/>
          <w:color w:val="000000"/>
          <w:sz w:val="36"/>
          <w:szCs w:val="36"/>
        </w:rPr>
      </w:pPr>
      <w:r w:rsidRPr="000D5F6C">
        <w:rPr>
          <w:rFonts w:ascii="Segoe UI" w:eastAsia="Times New Roman" w:hAnsi="Segoe UI" w:cs="Segoe UI"/>
          <w:b/>
          <w:bCs/>
          <w:color w:val="000000"/>
          <w:sz w:val="36"/>
          <w:szCs w:val="36"/>
        </w:rPr>
        <w:t>A potentially important jurisdictional point</w:t>
      </w:r>
    </w:p>
    <w:p w14:paraId="44940953"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Perhaps the most important aspect of the decision concerns the relationship between costs creditors and unrelated defendants.</w:t>
      </w:r>
    </w:p>
    <w:p w14:paraId="7E368180"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The applicants sought effectively to prevent enforcement against the Third Defendant because costs remained unpaid to the Fourth and Sixth Defendants.</w:t>
      </w:r>
    </w:p>
    <w:p w14:paraId="0C130F3A" w14:textId="250F850D" w:rsidR="000D5F6C" w:rsidRPr="000D5F6C" w:rsidRDefault="00EA35CA" w:rsidP="000D5F6C">
      <w:pPr>
        <w:spacing w:before="100" w:beforeAutospacing="1" w:after="100" w:afterAutospacing="1" w:line="300" w:lineRule="atLeast"/>
        <w:rPr>
          <w:rFonts w:ascii="Segoe UI" w:eastAsia="Times New Roman" w:hAnsi="Segoe UI" w:cs="Segoe UI"/>
          <w:color w:val="000000"/>
          <w:sz w:val="21"/>
          <w:szCs w:val="21"/>
        </w:rPr>
      </w:pPr>
      <w:r>
        <w:rPr>
          <w:rFonts w:ascii="Segoe UI" w:eastAsia="Times New Roman" w:hAnsi="Segoe UI" w:cs="Segoe UI"/>
          <w:color w:val="000000"/>
          <w:sz w:val="21"/>
          <w:szCs w:val="21"/>
        </w:rPr>
        <w:t>The judge</w:t>
      </w:r>
      <w:r w:rsidR="000D5F6C" w:rsidRPr="000D5F6C">
        <w:rPr>
          <w:rFonts w:ascii="Segoe UI" w:eastAsia="Times New Roman" w:hAnsi="Segoe UI" w:cs="Segoe UI"/>
          <w:color w:val="000000"/>
          <w:sz w:val="21"/>
          <w:szCs w:val="21"/>
        </w:rPr>
        <w:t xml:space="preserve"> held that </w:t>
      </w:r>
      <w:proofErr w:type="spellStart"/>
      <w:r w:rsidR="0065671A">
        <w:rPr>
          <w:rFonts w:ascii="Segoe UI" w:eastAsia="Times New Roman" w:hAnsi="Segoe UI" w:cs="Segoe UI"/>
          <w:b/>
          <w:bCs/>
          <w:color w:val="000000"/>
          <w:sz w:val="21"/>
          <w:szCs w:val="21"/>
          <w:u w:val="single"/>
        </w:rPr>
        <w:fldChar w:fldCharType="begin"/>
      </w:r>
      <w:r w:rsidR="0065671A">
        <w:rPr>
          <w:rFonts w:ascii="Segoe UI" w:eastAsia="Times New Roman" w:hAnsi="Segoe UI" w:cs="Segoe UI"/>
          <w:b/>
          <w:bCs/>
          <w:color w:val="000000"/>
          <w:sz w:val="21"/>
          <w:szCs w:val="21"/>
          <w:u w:val="single"/>
        </w:rPr>
        <w:instrText>HYPERLINK "https://www.bailii.org/cgi-bin/format.cgi?doc=/ew/cases/EWHC/Ch/2020/1004.html&amp;query=(.2020.)+AND+(EWHC)+AND+(1004)+AND+((Ch))"</w:instrText>
      </w:r>
      <w:r w:rsidR="0065671A">
        <w:rPr>
          <w:rFonts w:ascii="Segoe UI" w:eastAsia="Times New Roman" w:hAnsi="Segoe UI" w:cs="Segoe UI"/>
          <w:b/>
          <w:bCs/>
          <w:color w:val="000000"/>
          <w:sz w:val="21"/>
          <w:szCs w:val="21"/>
          <w:u w:val="single"/>
        </w:rPr>
      </w:r>
      <w:r w:rsidR="0065671A">
        <w:rPr>
          <w:rFonts w:ascii="Segoe UI" w:eastAsia="Times New Roman" w:hAnsi="Segoe UI" w:cs="Segoe UI"/>
          <w:b/>
          <w:bCs/>
          <w:color w:val="000000"/>
          <w:sz w:val="21"/>
          <w:szCs w:val="21"/>
          <w:u w:val="single"/>
        </w:rPr>
        <w:fldChar w:fldCharType="separate"/>
      </w:r>
      <w:r w:rsidR="000D5F6C" w:rsidRPr="0065671A">
        <w:rPr>
          <w:rStyle w:val="Hyperlink"/>
          <w:rFonts w:ascii="Segoe UI" w:eastAsia="Times New Roman" w:hAnsi="Segoe UI" w:cs="Segoe UI"/>
          <w:b/>
          <w:bCs/>
          <w:sz w:val="21"/>
          <w:szCs w:val="21"/>
        </w:rPr>
        <w:t>Tonstate</w:t>
      </w:r>
      <w:proofErr w:type="spellEnd"/>
      <w:r w:rsidR="000D5F6C" w:rsidRPr="0065671A">
        <w:rPr>
          <w:rStyle w:val="Hyperlink"/>
          <w:rFonts w:ascii="Segoe UI" w:eastAsia="Times New Roman" w:hAnsi="Segoe UI" w:cs="Segoe UI"/>
          <w:b/>
          <w:bCs/>
          <w:sz w:val="21"/>
          <w:szCs w:val="21"/>
        </w:rPr>
        <w:t xml:space="preserve"> Group Ltd v Wojakovski </w:t>
      </w:r>
      <w:r w:rsidR="000D5F6C" w:rsidRPr="0065671A">
        <w:rPr>
          <w:rStyle w:val="Hyperlink"/>
          <w:rFonts w:ascii="Segoe UI" w:eastAsia="Times New Roman" w:hAnsi="Segoe UI" w:cs="Segoe UI"/>
          <w:bCs/>
          <w:sz w:val="21"/>
          <w:szCs w:val="21"/>
        </w:rPr>
        <w:t>[2020] EWHC 1004 (Ch)</w:t>
      </w:r>
      <w:r w:rsidR="0065671A">
        <w:rPr>
          <w:rFonts w:ascii="Segoe UI" w:eastAsia="Times New Roman" w:hAnsi="Segoe UI" w:cs="Segoe UI"/>
          <w:b/>
          <w:bCs/>
          <w:color w:val="000000"/>
          <w:sz w:val="21"/>
          <w:szCs w:val="21"/>
          <w:u w:val="single"/>
        </w:rPr>
        <w:fldChar w:fldCharType="end"/>
      </w:r>
      <w:r w:rsidR="0065671A">
        <w:rPr>
          <w:rFonts w:ascii="Segoe UI" w:eastAsia="Times New Roman" w:hAnsi="Segoe UI" w:cs="Segoe UI"/>
          <w:b/>
          <w:bCs/>
          <w:color w:val="000000"/>
          <w:sz w:val="21"/>
          <w:szCs w:val="21"/>
          <w:u w:val="single"/>
        </w:rPr>
        <w:t>,</w:t>
      </w:r>
      <w:r w:rsidR="008B4932">
        <w:rPr>
          <w:rFonts w:ascii="Segoe UI" w:eastAsia="Times New Roman" w:hAnsi="Segoe UI" w:cs="Segoe UI"/>
          <w:bCs/>
          <w:color w:val="000000"/>
          <w:sz w:val="21"/>
          <w:szCs w:val="21"/>
        </w:rPr>
        <w:t xml:space="preserve"> </w:t>
      </w:r>
      <w:r w:rsidRPr="00EA35CA">
        <w:rPr>
          <w:rFonts w:ascii="Segoe UI" w:eastAsia="Times New Roman" w:hAnsi="Segoe UI" w:cs="Segoe UI"/>
          <w:bCs/>
          <w:color w:val="000000"/>
          <w:sz w:val="21"/>
          <w:szCs w:val="21"/>
        </w:rPr>
        <w:t>relied upon by the applicants</w:t>
      </w:r>
      <w:r>
        <w:rPr>
          <w:rFonts w:ascii="Segoe UI" w:eastAsia="Times New Roman" w:hAnsi="Segoe UI" w:cs="Segoe UI"/>
          <w:b/>
          <w:bCs/>
          <w:color w:val="000000"/>
          <w:sz w:val="21"/>
          <w:szCs w:val="21"/>
        </w:rPr>
        <w:t>,</w:t>
      </w:r>
      <w:r w:rsidR="000D5F6C" w:rsidRPr="000D5F6C">
        <w:rPr>
          <w:rFonts w:ascii="Segoe UI" w:eastAsia="Times New Roman" w:hAnsi="Segoe UI" w:cs="Segoe UI"/>
          <w:color w:val="000000"/>
          <w:sz w:val="21"/>
          <w:szCs w:val="21"/>
        </w:rPr>
        <w:t xml:space="preserve"> did not support such a </w:t>
      </w:r>
      <w:r>
        <w:rPr>
          <w:rFonts w:ascii="Segoe UI" w:eastAsia="Times New Roman" w:hAnsi="Segoe UI" w:cs="Segoe UI"/>
          <w:color w:val="000000"/>
          <w:sz w:val="21"/>
          <w:szCs w:val="21"/>
        </w:rPr>
        <w:t>use of the Court’s barring discretion</w:t>
      </w:r>
      <w:r w:rsidR="000D5F6C" w:rsidRPr="000D5F6C">
        <w:rPr>
          <w:rFonts w:ascii="Segoe UI" w:eastAsia="Times New Roman" w:hAnsi="Segoe UI" w:cs="Segoe UI"/>
          <w:color w:val="000000"/>
          <w:sz w:val="21"/>
          <w:szCs w:val="21"/>
        </w:rPr>
        <w:t xml:space="preserve">. Examining </w:t>
      </w:r>
      <w:proofErr w:type="spellStart"/>
      <w:r w:rsidR="000D5F6C" w:rsidRPr="000D5F6C">
        <w:rPr>
          <w:rFonts w:ascii="Segoe UI" w:eastAsia="Times New Roman" w:hAnsi="Segoe UI" w:cs="Segoe UI"/>
          <w:b/>
          <w:color w:val="000000"/>
          <w:sz w:val="21"/>
          <w:szCs w:val="21"/>
          <w:u w:val="single"/>
        </w:rPr>
        <w:t>Tonstate</w:t>
      </w:r>
      <w:proofErr w:type="spellEnd"/>
      <w:r w:rsidR="000D5F6C" w:rsidRPr="000D5F6C">
        <w:rPr>
          <w:rFonts w:ascii="Segoe UI" w:eastAsia="Times New Roman" w:hAnsi="Segoe UI" w:cs="Segoe UI"/>
          <w:color w:val="000000"/>
          <w:sz w:val="21"/>
          <w:szCs w:val="21"/>
        </w:rPr>
        <w:t xml:space="preserve"> in detail, </w:t>
      </w:r>
      <w:r w:rsidR="000A38A7">
        <w:rPr>
          <w:rFonts w:ascii="Segoe UI" w:eastAsia="Times New Roman" w:hAnsi="Segoe UI" w:cs="Segoe UI"/>
          <w:color w:val="000000"/>
          <w:sz w:val="21"/>
          <w:szCs w:val="21"/>
        </w:rPr>
        <w:t>the judge</w:t>
      </w:r>
      <w:r w:rsidR="000D5F6C" w:rsidRPr="000D5F6C">
        <w:rPr>
          <w:rFonts w:ascii="Segoe UI" w:eastAsia="Times New Roman" w:hAnsi="Segoe UI" w:cs="Segoe UI"/>
          <w:color w:val="000000"/>
          <w:sz w:val="21"/>
          <w:szCs w:val="21"/>
        </w:rPr>
        <w:t xml:space="preserve"> concluded </w:t>
      </w:r>
      <w:r w:rsidR="00204A54">
        <w:rPr>
          <w:rFonts w:ascii="Segoe UI" w:eastAsia="Times New Roman" w:hAnsi="Segoe UI" w:cs="Segoe UI"/>
          <w:color w:val="000000"/>
          <w:sz w:val="21"/>
          <w:szCs w:val="21"/>
        </w:rPr>
        <w:t xml:space="preserve">it </w:t>
      </w:r>
      <w:r w:rsidR="000D5F6C" w:rsidRPr="000D5F6C">
        <w:rPr>
          <w:rFonts w:ascii="Segoe UI" w:eastAsia="Times New Roman" w:hAnsi="Segoe UI" w:cs="Segoe UI"/>
          <w:color w:val="000000"/>
          <w:sz w:val="21"/>
          <w:szCs w:val="21"/>
        </w:rPr>
        <w:t xml:space="preserve">was not authority for the proposition that </w:t>
      </w:r>
      <w:r w:rsidR="00204A54">
        <w:rPr>
          <w:rFonts w:ascii="Segoe UI" w:eastAsia="Times New Roman" w:hAnsi="Segoe UI" w:cs="Segoe UI"/>
          <w:color w:val="000000"/>
          <w:sz w:val="21"/>
          <w:szCs w:val="21"/>
        </w:rPr>
        <w:t xml:space="preserve">cost payment </w:t>
      </w:r>
      <w:r w:rsidR="000D5F6C" w:rsidRPr="000D5F6C">
        <w:rPr>
          <w:rFonts w:ascii="Segoe UI" w:eastAsia="Times New Roman" w:hAnsi="Segoe UI" w:cs="Segoe UI"/>
          <w:color w:val="000000"/>
          <w:sz w:val="21"/>
          <w:szCs w:val="21"/>
        </w:rPr>
        <w:t xml:space="preserve">default </w:t>
      </w:r>
      <w:r w:rsidR="00204A54">
        <w:rPr>
          <w:rFonts w:ascii="Segoe UI" w:eastAsia="Times New Roman" w:hAnsi="Segoe UI" w:cs="Segoe UI"/>
          <w:color w:val="000000"/>
          <w:sz w:val="21"/>
          <w:szCs w:val="21"/>
        </w:rPr>
        <w:t>in relation to</w:t>
      </w:r>
      <w:r w:rsidR="000D5F6C" w:rsidRPr="000D5F6C">
        <w:rPr>
          <w:rFonts w:ascii="Segoe UI" w:eastAsia="Times New Roman" w:hAnsi="Segoe UI" w:cs="Segoe UI"/>
          <w:color w:val="000000"/>
          <w:sz w:val="21"/>
          <w:szCs w:val="21"/>
        </w:rPr>
        <w:t xml:space="preserve"> one litigant could justify preventing claims or enforcement activity against another. </w:t>
      </w:r>
      <w:r w:rsidR="00204A54" w:rsidRPr="000D5F6C">
        <w:rPr>
          <w:rFonts w:ascii="Segoe UI" w:eastAsia="Times New Roman" w:hAnsi="Segoe UI" w:cs="Segoe UI"/>
          <w:color w:val="000000"/>
          <w:sz w:val="21"/>
          <w:szCs w:val="21"/>
        </w:rPr>
        <w:t xml:space="preserve"> </w:t>
      </w:r>
    </w:p>
    <w:p w14:paraId="523BE422"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The judgment contains what may prove to be an important observation:</w:t>
      </w:r>
    </w:p>
    <w:p w14:paraId="5EABD1CE" w14:textId="77777777" w:rsidR="000D5F6C" w:rsidRPr="000D5F6C" w:rsidRDefault="000D5F6C" w:rsidP="000D5F6C">
      <w:pPr>
        <w:spacing w:beforeAutospacing="1"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w:t>
      </w:r>
      <w:r w:rsidRPr="0065671A">
        <w:rPr>
          <w:rFonts w:ascii="Segoe UI" w:eastAsia="Times New Roman" w:hAnsi="Segoe UI" w:cs="Segoe UI"/>
          <w:i/>
          <w:iCs/>
          <w:color w:val="000000"/>
          <w:sz w:val="21"/>
          <w:szCs w:val="21"/>
        </w:rPr>
        <w:t xml:space="preserve">I do not consider </w:t>
      </w:r>
      <w:proofErr w:type="spellStart"/>
      <w:r w:rsidRPr="0065671A">
        <w:rPr>
          <w:rFonts w:ascii="Segoe UI" w:eastAsia="Times New Roman" w:hAnsi="Segoe UI" w:cs="Segoe UI"/>
          <w:b/>
          <w:i/>
          <w:iCs/>
          <w:color w:val="000000"/>
          <w:sz w:val="21"/>
          <w:szCs w:val="21"/>
          <w:u w:val="single"/>
        </w:rPr>
        <w:t>Tonstate</w:t>
      </w:r>
      <w:proofErr w:type="spellEnd"/>
      <w:r w:rsidRPr="0065671A">
        <w:rPr>
          <w:rFonts w:ascii="Segoe UI" w:eastAsia="Times New Roman" w:hAnsi="Segoe UI" w:cs="Segoe UI"/>
          <w:i/>
          <w:iCs/>
          <w:color w:val="000000"/>
          <w:sz w:val="21"/>
          <w:szCs w:val="21"/>
        </w:rPr>
        <w:t xml:space="preserve"> to be authority for the proposition that where one party is in default as against another party, the party in default may be debarred as against all other parties in relation to different causes of action</w:t>
      </w:r>
      <w:r w:rsidRPr="000D5F6C">
        <w:rPr>
          <w:rFonts w:ascii="Segoe UI" w:eastAsia="Times New Roman" w:hAnsi="Segoe UI" w:cs="Segoe UI"/>
          <w:color w:val="000000"/>
          <w:sz w:val="21"/>
          <w:szCs w:val="21"/>
        </w:rPr>
        <w:t>..." </w:t>
      </w:r>
      <w:r w:rsidR="00204A54" w:rsidRPr="000D5F6C">
        <w:rPr>
          <w:rFonts w:ascii="Segoe UI" w:eastAsia="Times New Roman" w:hAnsi="Segoe UI" w:cs="Segoe UI"/>
          <w:color w:val="000000"/>
          <w:sz w:val="21"/>
          <w:szCs w:val="21"/>
        </w:rPr>
        <w:t xml:space="preserve"> </w:t>
      </w:r>
    </w:p>
    <w:p w14:paraId="009CA36E"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 xml:space="preserve">The court further stated that </w:t>
      </w:r>
      <w:proofErr w:type="spellStart"/>
      <w:r w:rsidRPr="000D5F6C">
        <w:rPr>
          <w:rFonts w:ascii="Segoe UI" w:eastAsia="Times New Roman" w:hAnsi="Segoe UI" w:cs="Segoe UI"/>
          <w:b/>
          <w:color w:val="000000"/>
          <w:sz w:val="21"/>
          <w:szCs w:val="21"/>
          <w:u w:val="single"/>
        </w:rPr>
        <w:t>Tonstate</w:t>
      </w:r>
      <w:proofErr w:type="spellEnd"/>
      <w:r w:rsidRPr="000D5F6C">
        <w:rPr>
          <w:rFonts w:ascii="Segoe UI" w:eastAsia="Times New Roman" w:hAnsi="Segoe UI" w:cs="Segoe UI"/>
          <w:b/>
          <w:color w:val="000000"/>
          <w:sz w:val="21"/>
          <w:szCs w:val="21"/>
          <w:u w:val="single"/>
        </w:rPr>
        <w:t xml:space="preserve"> </w:t>
      </w:r>
      <w:r w:rsidRPr="000D5F6C">
        <w:rPr>
          <w:rFonts w:ascii="Segoe UI" w:eastAsia="Times New Roman" w:hAnsi="Segoe UI" w:cs="Segoe UI"/>
          <w:color w:val="000000"/>
          <w:sz w:val="21"/>
          <w:szCs w:val="21"/>
        </w:rPr>
        <w:t xml:space="preserve">was not authority for the proposition that a party could be debarred from continuing enforcement after obtaining a </w:t>
      </w:r>
      <w:r w:rsidRPr="000D5F6C">
        <w:rPr>
          <w:rFonts w:ascii="Segoe UI" w:eastAsia="Times New Roman" w:hAnsi="Segoe UI" w:cs="Segoe UI"/>
          <w:i/>
          <w:color w:val="000000"/>
          <w:sz w:val="21"/>
          <w:szCs w:val="21"/>
        </w:rPr>
        <w:t>final order</w:t>
      </w:r>
      <w:r w:rsidR="00204A54">
        <w:rPr>
          <w:rFonts w:ascii="Segoe UI" w:eastAsia="Times New Roman" w:hAnsi="Segoe UI" w:cs="Segoe UI"/>
          <w:color w:val="000000"/>
          <w:sz w:val="21"/>
          <w:szCs w:val="21"/>
        </w:rPr>
        <w:t xml:space="preserve">, because of </w:t>
      </w:r>
      <w:r w:rsidR="000A38A7">
        <w:rPr>
          <w:rFonts w:ascii="Segoe UI" w:eastAsia="Times New Roman" w:hAnsi="Segoe UI" w:cs="Segoe UI"/>
          <w:color w:val="000000"/>
          <w:sz w:val="21"/>
          <w:szCs w:val="21"/>
        </w:rPr>
        <w:t xml:space="preserve">an </w:t>
      </w:r>
      <w:r w:rsidR="00204A54">
        <w:rPr>
          <w:rFonts w:ascii="Segoe UI" w:eastAsia="Times New Roman" w:hAnsi="Segoe UI" w:cs="Segoe UI"/>
          <w:color w:val="000000"/>
          <w:sz w:val="21"/>
          <w:szCs w:val="21"/>
        </w:rPr>
        <w:t>unpaid costs order in the substantive proceedings</w:t>
      </w:r>
      <w:r w:rsidRPr="000D5F6C">
        <w:rPr>
          <w:rFonts w:ascii="Segoe UI" w:eastAsia="Times New Roman" w:hAnsi="Segoe UI" w:cs="Segoe UI"/>
          <w:color w:val="000000"/>
          <w:sz w:val="21"/>
          <w:szCs w:val="21"/>
        </w:rPr>
        <w:t xml:space="preserve">. Although </w:t>
      </w:r>
      <w:r w:rsidR="00204A54">
        <w:rPr>
          <w:rFonts w:ascii="Segoe UI" w:eastAsia="Times New Roman" w:hAnsi="Segoe UI" w:cs="Segoe UI"/>
          <w:color w:val="000000"/>
          <w:sz w:val="21"/>
          <w:szCs w:val="21"/>
        </w:rPr>
        <w:t>the judge</w:t>
      </w:r>
      <w:r w:rsidRPr="000D5F6C">
        <w:rPr>
          <w:rFonts w:ascii="Segoe UI" w:eastAsia="Times New Roman" w:hAnsi="Segoe UI" w:cs="Segoe UI"/>
          <w:color w:val="000000"/>
          <w:sz w:val="21"/>
          <w:szCs w:val="21"/>
        </w:rPr>
        <w:t xml:space="preserve"> stopped short of ruling that such jurisdiction could never exist, he refused to treat existing authority as supporting it. </w:t>
      </w:r>
      <w:r w:rsidR="00204A54" w:rsidRPr="000D5F6C">
        <w:rPr>
          <w:rFonts w:ascii="Segoe UI" w:eastAsia="Times New Roman" w:hAnsi="Segoe UI" w:cs="Segoe UI"/>
          <w:color w:val="000000"/>
          <w:sz w:val="21"/>
          <w:szCs w:val="21"/>
        </w:rPr>
        <w:t xml:space="preserve"> </w:t>
      </w:r>
    </w:p>
    <w:p w14:paraId="14367367" w14:textId="77777777" w:rsidR="000D5F6C" w:rsidRPr="000D5F6C" w:rsidRDefault="000D5F6C" w:rsidP="000D5F6C">
      <w:pPr>
        <w:spacing w:before="100" w:beforeAutospacing="1" w:after="100" w:afterAutospacing="1" w:line="300" w:lineRule="atLeast"/>
        <w:outlineLvl w:val="1"/>
        <w:rPr>
          <w:rFonts w:ascii="Segoe UI" w:eastAsia="Times New Roman" w:hAnsi="Segoe UI" w:cs="Segoe UI"/>
          <w:b/>
          <w:bCs/>
          <w:color w:val="000000"/>
          <w:sz w:val="36"/>
          <w:szCs w:val="36"/>
        </w:rPr>
      </w:pPr>
      <w:r w:rsidRPr="000D5F6C">
        <w:rPr>
          <w:rFonts w:ascii="Segoe UI" w:eastAsia="Times New Roman" w:hAnsi="Segoe UI" w:cs="Segoe UI"/>
          <w:b/>
          <w:bCs/>
          <w:color w:val="000000"/>
          <w:sz w:val="36"/>
          <w:szCs w:val="36"/>
        </w:rPr>
        <w:lastRenderedPageBreak/>
        <w:t>Cross-costs matter</w:t>
      </w:r>
    </w:p>
    <w:p w14:paraId="07F5F1FE"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A further feature of the case was the existence of substantial costs orders running in the opposite direction.</w:t>
      </w:r>
    </w:p>
    <w:p w14:paraId="01514567"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 xml:space="preserve">During argument it emerged that previous orders of Sir Anthony Mann and </w:t>
      </w:r>
      <w:proofErr w:type="spellStart"/>
      <w:r w:rsidRPr="000D5F6C">
        <w:rPr>
          <w:rFonts w:ascii="Segoe UI" w:eastAsia="Times New Roman" w:hAnsi="Segoe UI" w:cs="Segoe UI"/>
          <w:color w:val="000000"/>
          <w:sz w:val="21"/>
          <w:szCs w:val="21"/>
        </w:rPr>
        <w:t>Thompsell</w:t>
      </w:r>
      <w:proofErr w:type="spellEnd"/>
      <w:r w:rsidRPr="000D5F6C">
        <w:rPr>
          <w:rFonts w:ascii="Segoe UI" w:eastAsia="Times New Roman" w:hAnsi="Segoe UI" w:cs="Segoe UI"/>
          <w:color w:val="000000"/>
          <w:sz w:val="21"/>
          <w:szCs w:val="21"/>
        </w:rPr>
        <w:t xml:space="preserve"> J required the Fourth to Sixth Defendants to pay costs to the Claimants. </w:t>
      </w:r>
      <w:r w:rsidR="000A38A7">
        <w:rPr>
          <w:rFonts w:ascii="Segoe UI" w:eastAsia="Times New Roman" w:hAnsi="Segoe UI" w:cs="Segoe UI"/>
          <w:color w:val="000000"/>
          <w:sz w:val="21"/>
          <w:szCs w:val="21"/>
        </w:rPr>
        <w:t>The Court made the important procedural point that it had been incumbent on the Fourth to Sixth Defendants, in seeking a debarring order, to have raised those extant liabilities in their application.  It should not have been left to the respondent to bring that important factor to the Court’s attention.  Moreover, t</w:t>
      </w:r>
      <w:r w:rsidRPr="000D5F6C">
        <w:rPr>
          <w:rFonts w:ascii="Segoe UI" w:eastAsia="Times New Roman" w:hAnsi="Segoe UI" w:cs="Segoe UI"/>
          <w:color w:val="000000"/>
          <w:sz w:val="21"/>
          <w:szCs w:val="21"/>
        </w:rPr>
        <w:t xml:space="preserve">he precise financial </w:t>
      </w:r>
      <w:r w:rsidR="00446437">
        <w:rPr>
          <w:rFonts w:ascii="Segoe UI" w:eastAsia="Times New Roman" w:hAnsi="Segoe UI" w:cs="Segoe UI"/>
          <w:color w:val="000000"/>
          <w:sz w:val="21"/>
          <w:szCs w:val="21"/>
        </w:rPr>
        <w:t xml:space="preserve">cost </w:t>
      </w:r>
      <w:r w:rsidRPr="000D5F6C">
        <w:rPr>
          <w:rFonts w:ascii="Segoe UI" w:eastAsia="Times New Roman" w:hAnsi="Segoe UI" w:cs="Segoe UI"/>
          <w:color w:val="000000"/>
          <w:sz w:val="21"/>
          <w:szCs w:val="21"/>
        </w:rPr>
        <w:t xml:space="preserve">outcome remained uncertain because various </w:t>
      </w:r>
      <w:r w:rsidR="000A38A7">
        <w:rPr>
          <w:rFonts w:ascii="Segoe UI" w:eastAsia="Times New Roman" w:hAnsi="Segoe UI" w:cs="Segoe UI"/>
          <w:color w:val="000000"/>
          <w:sz w:val="21"/>
          <w:szCs w:val="21"/>
        </w:rPr>
        <w:t xml:space="preserve">cost </w:t>
      </w:r>
      <w:r w:rsidRPr="000D5F6C">
        <w:rPr>
          <w:rFonts w:ascii="Segoe UI" w:eastAsia="Times New Roman" w:hAnsi="Segoe UI" w:cs="Segoe UI"/>
          <w:color w:val="000000"/>
          <w:sz w:val="21"/>
          <w:szCs w:val="21"/>
        </w:rPr>
        <w:t>assessments had not yet taken place</w:t>
      </w:r>
      <w:r w:rsidR="00446437">
        <w:rPr>
          <w:rFonts w:ascii="Segoe UI" w:eastAsia="Times New Roman" w:hAnsi="Segoe UI" w:cs="Segoe UI"/>
          <w:color w:val="000000"/>
          <w:sz w:val="21"/>
          <w:szCs w:val="21"/>
        </w:rPr>
        <w:t xml:space="preserve"> as between the Claimants and the Fourth and Sixth Defendant.  </w:t>
      </w:r>
      <w:r w:rsidRPr="000D5F6C">
        <w:rPr>
          <w:rFonts w:ascii="Segoe UI" w:eastAsia="Times New Roman" w:hAnsi="Segoe UI" w:cs="Segoe UI"/>
          <w:color w:val="000000"/>
          <w:sz w:val="21"/>
          <w:szCs w:val="21"/>
        </w:rPr>
        <w:t> </w:t>
      </w:r>
      <w:r w:rsidR="00204A54" w:rsidRPr="000D5F6C">
        <w:rPr>
          <w:rFonts w:ascii="Segoe UI" w:eastAsia="Times New Roman" w:hAnsi="Segoe UI" w:cs="Segoe UI"/>
          <w:color w:val="000000"/>
          <w:sz w:val="21"/>
          <w:szCs w:val="21"/>
        </w:rPr>
        <w:t xml:space="preserve"> </w:t>
      </w:r>
    </w:p>
    <w:p w14:paraId="25E02B04" w14:textId="77777777" w:rsidR="000D5F6C" w:rsidRPr="000D5F6C" w:rsidRDefault="00204A54" w:rsidP="000D5F6C">
      <w:pPr>
        <w:spacing w:before="100" w:beforeAutospacing="1" w:after="100" w:afterAutospacing="1" w:line="300" w:lineRule="atLeast"/>
        <w:rPr>
          <w:rFonts w:ascii="Segoe UI" w:eastAsia="Times New Roman" w:hAnsi="Segoe UI" w:cs="Segoe UI"/>
          <w:color w:val="000000"/>
          <w:sz w:val="21"/>
          <w:szCs w:val="21"/>
        </w:rPr>
      </w:pPr>
      <w:r>
        <w:rPr>
          <w:rFonts w:ascii="Segoe UI" w:eastAsia="Times New Roman" w:hAnsi="Segoe UI" w:cs="Segoe UI"/>
          <w:color w:val="000000"/>
          <w:sz w:val="21"/>
          <w:szCs w:val="21"/>
        </w:rPr>
        <w:t>The Judge</w:t>
      </w:r>
      <w:r w:rsidR="000D5F6C" w:rsidRPr="000D5F6C">
        <w:rPr>
          <w:rFonts w:ascii="Segoe UI" w:eastAsia="Times New Roman" w:hAnsi="Segoe UI" w:cs="Segoe UI"/>
          <w:color w:val="000000"/>
          <w:sz w:val="21"/>
          <w:szCs w:val="21"/>
        </w:rPr>
        <w:t xml:space="preserve"> </w:t>
      </w:r>
      <w:r w:rsidR="000D5F6C" w:rsidRPr="000D5F6C">
        <w:rPr>
          <w:rFonts w:eastAsia="Times New Roman" w:cstheme="minorHAnsi"/>
          <w:color w:val="000000"/>
          <w:sz w:val="21"/>
          <w:szCs w:val="21"/>
        </w:rPr>
        <w:t>relied in part on reasoning found in</w:t>
      </w:r>
      <w:r w:rsidR="000D5F6C" w:rsidRPr="002258CD">
        <w:rPr>
          <w:rFonts w:eastAsia="Times New Roman" w:cstheme="minorHAnsi"/>
          <w:color w:val="000000"/>
          <w:sz w:val="21"/>
          <w:szCs w:val="21"/>
        </w:rPr>
        <w:t> </w:t>
      </w:r>
      <w:r w:rsidR="000D5F6C" w:rsidRPr="002258CD">
        <w:rPr>
          <w:rFonts w:eastAsia="Times New Roman" w:cstheme="minorHAnsi"/>
          <w:b/>
          <w:bCs/>
          <w:color w:val="000000"/>
          <w:sz w:val="21"/>
          <w:szCs w:val="21"/>
          <w:u w:val="single"/>
        </w:rPr>
        <w:t xml:space="preserve">Hasbro Consumer Products Licensing Ltd v </w:t>
      </w:r>
      <w:proofErr w:type="spellStart"/>
      <w:r w:rsidR="000D5F6C" w:rsidRPr="002258CD">
        <w:rPr>
          <w:rFonts w:eastAsia="Times New Roman" w:cstheme="minorHAnsi"/>
          <w:b/>
          <w:bCs/>
          <w:color w:val="000000"/>
          <w:sz w:val="21"/>
          <w:szCs w:val="21"/>
          <w:u w:val="single"/>
        </w:rPr>
        <w:t>Sconnect</w:t>
      </w:r>
      <w:proofErr w:type="spellEnd"/>
      <w:r w:rsidR="000D5F6C" w:rsidRPr="000D5F6C">
        <w:rPr>
          <w:rFonts w:eastAsia="Times New Roman" w:cstheme="minorHAnsi"/>
          <w:color w:val="000000"/>
          <w:sz w:val="21"/>
          <w:szCs w:val="21"/>
        </w:rPr>
        <w:t>,</w:t>
      </w:r>
      <w:r w:rsidR="002258CD" w:rsidRPr="002258CD">
        <w:rPr>
          <w:rFonts w:eastAsia="Times New Roman" w:cstheme="minorHAnsi"/>
          <w:color w:val="000000"/>
          <w:sz w:val="21"/>
          <w:szCs w:val="21"/>
        </w:rPr>
        <w:t xml:space="preserve"> </w:t>
      </w:r>
      <w:r w:rsidR="002258CD" w:rsidRPr="002258CD">
        <w:rPr>
          <w:rFonts w:cstheme="minorHAnsi"/>
          <w:sz w:val="21"/>
          <w:szCs w:val="21"/>
        </w:rPr>
        <w:t>[2025] EWHC 3450 (Ch)</w:t>
      </w:r>
      <w:r w:rsidR="000D5F6C" w:rsidRPr="000D5F6C">
        <w:rPr>
          <w:rFonts w:ascii="Segoe UI" w:eastAsia="Times New Roman" w:hAnsi="Segoe UI" w:cs="Segoe UI"/>
          <w:color w:val="000000"/>
          <w:sz w:val="21"/>
          <w:szCs w:val="21"/>
        </w:rPr>
        <w:t xml:space="preserve"> where uncertainty surrounding outstanding costs liabilities </w:t>
      </w:r>
      <w:r>
        <w:rPr>
          <w:rFonts w:ascii="Segoe UI" w:eastAsia="Times New Roman" w:hAnsi="Segoe UI" w:cs="Segoe UI"/>
          <w:color w:val="000000"/>
          <w:sz w:val="21"/>
          <w:szCs w:val="21"/>
        </w:rPr>
        <w:t xml:space="preserve">“each way” </w:t>
      </w:r>
      <w:r w:rsidR="000D5F6C" w:rsidRPr="000D5F6C">
        <w:rPr>
          <w:rFonts w:ascii="Segoe UI" w:eastAsia="Times New Roman" w:hAnsi="Segoe UI" w:cs="Segoe UI"/>
          <w:color w:val="000000"/>
          <w:sz w:val="21"/>
          <w:szCs w:val="21"/>
        </w:rPr>
        <w:t xml:space="preserve">militated against the grant of debarring relief. Similar considerations applied here because the </w:t>
      </w:r>
      <w:r w:rsidR="000A38A7">
        <w:rPr>
          <w:rFonts w:ascii="Segoe UI" w:eastAsia="Times New Roman" w:hAnsi="Segoe UI" w:cs="Segoe UI"/>
          <w:color w:val="000000"/>
          <w:sz w:val="21"/>
          <w:szCs w:val="21"/>
        </w:rPr>
        <w:t>Fourth and Sixth D</w:t>
      </w:r>
      <w:r w:rsidR="000D5F6C" w:rsidRPr="000D5F6C">
        <w:rPr>
          <w:rFonts w:ascii="Segoe UI" w:eastAsia="Times New Roman" w:hAnsi="Segoe UI" w:cs="Segoe UI"/>
          <w:color w:val="000000"/>
          <w:sz w:val="21"/>
          <w:szCs w:val="21"/>
        </w:rPr>
        <w:t>efendants'</w:t>
      </w:r>
      <w:r>
        <w:rPr>
          <w:rFonts w:ascii="Segoe UI" w:eastAsia="Times New Roman" w:hAnsi="Segoe UI" w:cs="Segoe UI"/>
          <w:color w:val="000000"/>
          <w:sz w:val="21"/>
          <w:szCs w:val="21"/>
        </w:rPr>
        <w:t xml:space="preserve"> ultimate cost</w:t>
      </w:r>
      <w:r w:rsidR="000D5F6C" w:rsidRPr="000D5F6C">
        <w:rPr>
          <w:rFonts w:ascii="Segoe UI" w:eastAsia="Times New Roman" w:hAnsi="Segoe UI" w:cs="Segoe UI"/>
          <w:color w:val="000000"/>
          <w:sz w:val="21"/>
          <w:szCs w:val="21"/>
        </w:rPr>
        <w:t xml:space="preserve"> liabilities</w:t>
      </w:r>
      <w:r>
        <w:rPr>
          <w:rFonts w:ascii="Segoe UI" w:eastAsia="Times New Roman" w:hAnsi="Segoe UI" w:cs="Segoe UI"/>
          <w:color w:val="000000"/>
          <w:sz w:val="21"/>
          <w:szCs w:val="21"/>
        </w:rPr>
        <w:t xml:space="preserve"> to the Claimants</w:t>
      </w:r>
      <w:r w:rsidR="000D5F6C" w:rsidRPr="000D5F6C">
        <w:rPr>
          <w:rFonts w:ascii="Segoe UI" w:eastAsia="Times New Roman" w:hAnsi="Segoe UI" w:cs="Segoe UI"/>
          <w:color w:val="000000"/>
          <w:sz w:val="21"/>
          <w:szCs w:val="21"/>
        </w:rPr>
        <w:t xml:space="preserve"> </w:t>
      </w:r>
      <w:r>
        <w:rPr>
          <w:rFonts w:ascii="Segoe UI" w:eastAsia="Times New Roman" w:hAnsi="Segoe UI" w:cs="Segoe UI"/>
          <w:color w:val="000000"/>
          <w:sz w:val="21"/>
          <w:szCs w:val="21"/>
        </w:rPr>
        <w:t xml:space="preserve">(following detailed assessment) </w:t>
      </w:r>
      <w:r w:rsidR="000D5F6C" w:rsidRPr="000D5F6C">
        <w:rPr>
          <w:rFonts w:ascii="Segoe UI" w:eastAsia="Times New Roman" w:hAnsi="Segoe UI" w:cs="Segoe UI"/>
          <w:color w:val="000000"/>
          <w:sz w:val="21"/>
          <w:szCs w:val="21"/>
        </w:rPr>
        <w:t>might significantly offset</w:t>
      </w:r>
      <w:r>
        <w:rPr>
          <w:rFonts w:ascii="Segoe UI" w:eastAsia="Times New Roman" w:hAnsi="Segoe UI" w:cs="Segoe UI"/>
          <w:color w:val="000000"/>
          <w:sz w:val="21"/>
          <w:szCs w:val="21"/>
        </w:rPr>
        <w:t xml:space="preserve"> or overtop</w:t>
      </w:r>
      <w:r w:rsidR="000D5F6C" w:rsidRPr="000D5F6C">
        <w:rPr>
          <w:rFonts w:ascii="Segoe UI" w:eastAsia="Times New Roman" w:hAnsi="Segoe UI" w:cs="Segoe UI"/>
          <w:color w:val="000000"/>
          <w:sz w:val="21"/>
          <w:szCs w:val="21"/>
        </w:rPr>
        <w:t xml:space="preserve"> the sums they sought to recover</w:t>
      </w:r>
      <w:r>
        <w:rPr>
          <w:rFonts w:ascii="Segoe UI" w:eastAsia="Times New Roman" w:hAnsi="Segoe UI" w:cs="Segoe UI"/>
          <w:color w:val="000000"/>
          <w:sz w:val="21"/>
          <w:szCs w:val="21"/>
        </w:rPr>
        <w:t xml:space="preserve"> from the Claimants.  </w:t>
      </w:r>
      <w:r w:rsidR="000D5F6C" w:rsidRPr="000D5F6C">
        <w:rPr>
          <w:rFonts w:ascii="Segoe UI" w:eastAsia="Times New Roman" w:hAnsi="Segoe UI" w:cs="Segoe UI"/>
          <w:color w:val="000000"/>
          <w:sz w:val="21"/>
          <w:szCs w:val="21"/>
        </w:rPr>
        <w:t> </w:t>
      </w:r>
      <w:r w:rsidRPr="000D5F6C">
        <w:rPr>
          <w:rFonts w:ascii="Segoe UI" w:eastAsia="Times New Roman" w:hAnsi="Segoe UI" w:cs="Segoe UI"/>
          <w:color w:val="000000"/>
          <w:sz w:val="21"/>
          <w:szCs w:val="21"/>
        </w:rPr>
        <w:t xml:space="preserve"> </w:t>
      </w:r>
    </w:p>
    <w:p w14:paraId="23DF0931" w14:textId="77777777" w:rsidR="000D5F6C" w:rsidRPr="000D5F6C" w:rsidRDefault="000D5F6C" w:rsidP="000D5F6C">
      <w:pPr>
        <w:spacing w:before="100" w:beforeAutospacing="1" w:after="100" w:afterAutospacing="1" w:line="300" w:lineRule="atLeast"/>
        <w:outlineLvl w:val="1"/>
        <w:rPr>
          <w:rFonts w:ascii="Segoe UI" w:eastAsia="Times New Roman" w:hAnsi="Segoe UI" w:cs="Segoe UI"/>
          <w:b/>
          <w:bCs/>
          <w:color w:val="000000"/>
          <w:sz w:val="36"/>
          <w:szCs w:val="36"/>
        </w:rPr>
      </w:pPr>
      <w:r w:rsidRPr="000D5F6C">
        <w:rPr>
          <w:rFonts w:ascii="Segoe UI" w:eastAsia="Times New Roman" w:hAnsi="Segoe UI" w:cs="Segoe UI"/>
          <w:b/>
          <w:bCs/>
          <w:color w:val="000000"/>
          <w:sz w:val="36"/>
          <w:szCs w:val="36"/>
        </w:rPr>
        <w:t>Conventional enforcement remains available</w:t>
      </w:r>
    </w:p>
    <w:p w14:paraId="3E706422"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The court was also influenced by the fact that the applicants remained free to enforce their costs orders through ordinary means.</w:t>
      </w:r>
    </w:p>
    <w:p w14:paraId="78BE4331"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 xml:space="preserve">The judgment notes that no satisfactory explanation had been provided as to why conventional enforcement remedies had not first been pursued. The court was unwilling to use the debarring </w:t>
      </w:r>
      <w:r w:rsidR="00446437">
        <w:rPr>
          <w:rFonts w:ascii="Segoe UI" w:eastAsia="Times New Roman" w:hAnsi="Segoe UI" w:cs="Segoe UI"/>
          <w:color w:val="000000"/>
          <w:sz w:val="21"/>
          <w:szCs w:val="21"/>
        </w:rPr>
        <w:t xml:space="preserve">“pay to play” </w:t>
      </w:r>
      <w:r w:rsidRPr="000D5F6C">
        <w:rPr>
          <w:rFonts w:ascii="Segoe UI" w:eastAsia="Times New Roman" w:hAnsi="Segoe UI" w:cs="Segoe UI"/>
          <w:color w:val="000000"/>
          <w:sz w:val="21"/>
          <w:szCs w:val="21"/>
        </w:rPr>
        <w:t>jurisdiction as a substitute enforcement tool where ordinary routes remained available. </w:t>
      </w:r>
      <w:r w:rsidR="00204A54" w:rsidRPr="000D5F6C">
        <w:rPr>
          <w:rFonts w:ascii="Segoe UI" w:eastAsia="Times New Roman" w:hAnsi="Segoe UI" w:cs="Segoe UI"/>
          <w:color w:val="000000"/>
          <w:sz w:val="21"/>
          <w:szCs w:val="21"/>
        </w:rPr>
        <w:t xml:space="preserve"> </w:t>
      </w:r>
    </w:p>
    <w:p w14:paraId="36249CA6" w14:textId="77777777" w:rsidR="000D5F6C" w:rsidRPr="000D5F6C" w:rsidRDefault="000D5F6C" w:rsidP="000D5F6C">
      <w:pPr>
        <w:spacing w:before="100" w:beforeAutospacing="1" w:after="100" w:afterAutospacing="1" w:line="300" w:lineRule="atLeast"/>
        <w:outlineLvl w:val="1"/>
        <w:rPr>
          <w:rFonts w:ascii="Segoe UI" w:eastAsia="Times New Roman" w:hAnsi="Segoe UI" w:cs="Segoe UI"/>
          <w:b/>
          <w:bCs/>
          <w:color w:val="000000"/>
          <w:sz w:val="36"/>
          <w:szCs w:val="36"/>
        </w:rPr>
      </w:pPr>
      <w:r w:rsidRPr="000D5F6C">
        <w:rPr>
          <w:rFonts w:ascii="Segoe UI" w:eastAsia="Times New Roman" w:hAnsi="Segoe UI" w:cs="Segoe UI"/>
          <w:b/>
          <w:bCs/>
          <w:color w:val="000000"/>
          <w:sz w:val="36"/>
          <w:szCs w:val="36"/>
        </w:rPr>
        <w:t>Stays and appeals</w:t>
      </w:r>
    </w:p>
    <w:p w14:paraId="359A4ADF"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The applicants additionally relied on the fact</w:t>
      </w:r>
      <w:r w:rsidR="00204A54">
        <w:rPr>
          <w:rFonts w:ascii="Segoe UI" w:eastAsia="Times New Roman" w:hAnsi="Segoe UI" w:cs="Segoe UI"/>
          <w:color w:val="000000"/>
          <w:sz w:val="21"/>
          <w:szCs w:val="21"/>
        </w:rPr>
        <w:t>s</w:t>
      </w:r>
      <w:r w:rsidRPr="000D5F6C">
        <w:rPr>
          <w:rFonts w:ascii="Segoe UI" w:eastAsia="Times New Roman" w:hAnsi="Segoe UI" w:cs="Segoe UI"/>
          <w:color w:val="000000"/>
          <w:sz w:val="21"/>
          <w:szCs w:val="21"/>
        </w:rPr>
        <w:t xml:space="preserve"> that</w:t>
      </w:r>
      <w:r w:rsidR="00204A54">
        <w:rPr>
          <w:rFonts w:ascii="Segoe UI" w:eastAsia="Times New Roman" w:hAnsi="Segoe UI" w:cs="Segoe UI"/>
          <w:color w:val="000000"/>
          <w:sz w:val="21"/>
          <w:szCs w:val="21"/>
        </w:rPr>
        <w:t>: (1)</w:t>
      </w:r>
      <w:r w:rsidRPr="000D5F6C">
        <w:rPr>
          <w:rFonts w:ascii="Segoe UI" w:eastAsia="Times New Roman" w:hAnsi="Segoe UI" w:cs="Segoe UI"/>
          <w:color w:val="000000"/>
          <w:sz w:val="21"/>
          <w:szCs w:val="21"/>
        </w:rPr>
        <w:t xml:space="preserve"> </w:t>
      </w:r>
      <w:r w:rsidR="00204A54">
        <w:rPr>
          <w:rFonts w:ascii="Segoe UI" w:eastAsia="Times New Roman" w:hAnsi="Segoe UI" w:cs="Segoe UI"/>
          <w:color w:val="000000"/>
          <w:sz w:val="21"/>
          <w:szCs w:val="21"/>
        </w:rPr>
        <w:t xml:space="preserve">when the payment-on-account </w:t>
      </w:r>
      <w:r w:rsidR="00446437">
        <w:rPr>
          <w:rFonts w:ascii="Segoe UI" w:eastAsia="Times New Roman" w:hAnsi="Segoe UI" w:cs="Segoe UI"/>
          <w:color w:val="000000"/>
          <w:sz w:val="21"/>
          <w:szCs w:val="21"/>
        </w:rPr>
        <w:t xml:space="preserve">of costs </w:t>
      </w:r>
      <w:r w:rsidR="00204A54">
        <w:rPr>
          <w:rFonts w:ascii="Segoe UI" w:eastAsia="Times New Roman" w:hAnsi="Segoe UI" w:cs="Segoe UI"/>
          <w:color w:val="000000"/>
          <w:sz w:val="21"/>
          <w:szCs w:val="21"/>
        </w:rPr>
        <w:t xml:space="preserve">orders had been made </w:t>
      </w:r>
      <w:r w:rsidR="00446437">
        <w:rPr>
          <w:rFonts w:ascii="Segoe UI" w:eastAsia="Times New Roman" w:hAnsi="Segoe UI" w:cs="Segoe UI"/>
          <w:color w:val="000000"/>
          <w:sz w:val="21"/>
          <w:szCs w:val="21"/>
        </w:rPr>
        <w:t xml:space="preserve"> in thei</w:t>
      </w:r>
      <w:r w:rsidR="00611FFE">
        <w:rPr>
          <w:rFonts w:ascii="Segoe UI" w:eastAsia="Times New Roman" w:hAnsi="Segoe UI" w:cs="Segoe UI"/>
          <w:color w:val="000000"/>
          <w:sz w:val="21"/>
          <w:szCs w:val="21"/>
        </w:rPr>
        <w:t>r</w:t>
      </w:r>
      <w:r w:rsidR="00446437">
        <w:rPr>
          <w:rFonts w:ascii="Segoe UI" w:eastAsia="Times New Roman" w:hAnsi="Segoe UI" w:cs="Segoe UI"/>
          <w:color w:val="000000"/>
          <w:sz w:val="21"/>
          <w:szCs w:val="21"/>
        </w:rPr>
        <w:t xml:space="preserve"> favour, </w:t>
      </w:r>
      <w:r w:rsidR="00204A54">
        <w:rPr>
          <w:rFonts w:ascii="Segoe UI" w:eastAsia="Times New Roman" w:hAnsi="Segoe UI" w:cs="Segoe UI"/>
          <w:color w:val="000000"/>
          <w:sz w:val="21"/>
          <w:szCs w:val="21"/>
        </w:rPr>
        <w:t xml:space="preserve">the Claimants had not sought a stay of those orders, and (2)  </w:t>
      </w:r>
      <w:r w:rsidRPr="000D5F6C">
        <w:rPr>
          <w:rFonts w:ascii="Segoe UI" w:eastAsia="Times New Roman" w:hAnsi="Segoe UI" w:cs="Segoe UI"/>
          <w:color w:val="000000"/>
          <w:sz w:val="21"/>
          <w:szCs w:val="21"/>
        </w:rPr>
        <w:t>the relevant payment-on-account orders had not</w:t>
      </w:r>
      <w:r w:rsidR="00446437">
        <w:rPr>
          <w:rFonts w:ascii="Segoe UI" w:eastAsia="Times New Roman" w:hAnsi="Segoe UI" w:cs="Segoe UI"/>
          <w:color w:val="000000"/>
          <w:sz w:val="21"/>
          <w:szCs w:val="21"/>
        </w:rPr>
        <w:t xml:space="preserve"> thereafter</w:t>
      </w:r>
      <w:r w:rsidRPr="000D5F6C">
        <w:rPr>
          <w:rFonts w:ascii="Segoe UI" w:eastAsia="Times New Roman" w:hAnsi="Segoe UI" w:cs="Segoe UI"/>
          <w:color w:val="000000"/>
          <w:sz w:val="21"/>
          <w:szCs w:val="21"/>
        </w:rPr>
        <w:t xml:space="preserve"> been stayed</w:t>
      </w:r>
      <w:r w:rsidR="00204A54">
        <w:rPr>
          <w:rFonts w:ascii="Segoe UI" w:eastAsia="Times New Roman" w:hAnsi="Segoe UI" w:cs="Segoe UI"/>
          <w:color w:val="000000"/>
          <w:sz w:val="21"/>
          <w:szCs w:val="21"/>
        </w:rPr>
        <w:t xml:space="preserve"> by the Court of Appeal when permission to appeal had been sought</w:t>
      </w:r>
      <w:r w:rsidR="00446437">
        <w:rPr>
          <w:rFonts w:ascii="Segoe UI" w:eastAsia="Times New Roman" w:hAnsi="Segoe UI" w:cs="Segoe UI"/>
          <w:color w:val="000000"/>
          <w:sz w:val="21"/>
          <w:szCs w:val="21"/>
        </w:rPr>
        <w:t xml:space="preserve"> by the Claimants</w:t>
      </w:r>
      <w:r w:rsidR="00204A54">
        <w:rPr>
          <w:rFonts w:ascii="Segoe UI" w:eastAsia="Times New Roman" w:hAnsi="Segoe UI" w:cs="Segoe UI"/>
          <w:color w:val="000000"/>
          <w:sz w:val="21"/>
          <w:szCs w:val="21"/>
        </w:rPr>
        <w:t xml:space="preserve">.   </w:t>
      </w:r>
    </w:p>
    <w:p w14:paraId="7B371A2F" w14:textId="77777777" w:rsidR="000D5F6C" w:rsidRPr="000D5F6C" w:rsidRDefault="00204A54" w:rsidP="000D5F6C">
      <w:pPr>
        <w:spacing w:before="100" w:beforeAutospacing="1" w:after="100" w:afterAutospacing="1" w:line="300" w:lineRule="atLeast"/>
        <w:rPr>
          <w:rFonts w:ascii="Segoe UI" w:eastAsia="Times New Roman" w:hAnsi="Segoe UI" w:cs="Segoe UI"/>
          <w:color w:val="000000"/>
          <w:sz w:val="21"/>
          <w:szCs w:val="21"/>
        </w:rPr>
      </w:pPr>
      <w:r>
        <w:rPr>
          <w:rFonts w:ascii="Segoe UI" w:eastAsia="Times New Roman" w:hAnsi="Segoe UI" w:cs="Segoe UI"/>
          <w:color w:val="000000"/>
          <w:sz w:val="21"/>
          <w:szCs w:val="21"/>
        </w:rPr>
        <w:t xml:space="preserve">The judge </w:t>
      </w:r>
      <w:r w:rsidR="000D5F6C" w:rsidRPr="000D5F6C">
        <w:rPr>
          <w:rFonts w:ascii="Segoe UI" w:eastAsia="Times New Roman" w:hAnsi="Segoe UI" w:cs="Segoe UI"/>
          <w:color w:val="000000"/>
          <w:sz w:val="21"/>
          <w:szCs w:val="21"/>
        </w:rPr>
        <w:t>rejected that submission. Neither the failure to obtain a stay from the first instance court nor the absence of a stay from the Court of Appeal materially advanced the application. The question before th</w:t>
      </w:r>
      <w:r w:rsidR="000A38A7">
        <w:rPr>
          <w:rFonts w:ascii="Segoe UI" w:eastAsia="Times New Roman" w:hAnsi="Segoe UI" w:cs="Segoe UI"/>
          <w:color w:val="000000"/>
          <w:sz w:val="21"/>
          <w:szCs w:val="21"/>
        </w:rPr>
        <w:t xml:space="preserve">e </w:t>
      </w:r>
      <w:r w:rsidR="000D5F6C" w:rsidRPr="000D5F6C">
        <w:rPr>
          <w:rFonts w:ascii="Segoe UI" w:eastAsia="Times New Roman" w:hAnsi="Segoe UI" w:cs="Segoe UI"/>
          <w:color w:val="000000"/>
          <w:sz w:val="21"/>
          <w:szCs w:val="21"/>
        </w:rPr>
        <w:t xml:space="preserve">court was whether a debarring order should be imposed, not whether the underlying </w:t>
      </w:r>
      <w:r>
        <w:rPr>
          <w:rFonts w:ascii="Segoe UI" w:eastAsia="Times New Roman" w:hAnsi="Segoe UI" w:cs="Segoe UI"/>
          <w:color w:val="000000"/>
          <w:sz w:val="21"/>
          <w:szCs w:val="21"/>
        </w:rPr>
        <w:t xml:space="preserve">payment-on-account </w:t>
      </w:r>
      <w:r w:rsidR="000D5F6C" w:rsidRPr="000D5F6C">
        <w:rPr>
          <w:rFonts w:ascii="Segoe UI" w:eastAsia="Times New Roman" w:hAnsi="Segoe UI" w:cs="Segoe UI"/>
          <w:color w:val="000000"/>
          <w:sz w:val="21"/>
          <w:szCs w:val="21"/>
        </w:rPr>
        <w:t>costs orders remained valid and enforceable. </w:t>
      </w:r>
      <w:r w:rsidRPr="000D5F6C">
        <w:rPr>
          <w:rFonts w:ascii="Segoe UI" w:eastAsia="Times New Roman" w:hAnsi="Segoe UI" w:cs="Segoe UI"/>
          <w:color w:val="000000"/>
          <w:sz w:val="21"/>
          <w:szCs w:val="21"/>
        </w:rPr>
        <w:t xml:space="preserve"> </w:t>
      </w:r>
    </w:p>
    <w:p w14:paraId="0BF480BA" w14:textId="77777777" w:rsidR="000D5F6C" w:rsidRPr="000D5F6C" w:rsidRDefault="000D5F6C" w:rsidP="000D5F6C">
      <w:pPr>
        <w:spacing w:before="100" w:beforeAutospacing="1" w:after="100" w:afterAutospacing="1" w:line="300" w:lineRule="atLeast"/>
        <w:outlineLvl w:val="1"/>
        <w:rPr>
          <w:rFonts w:ascii="Segoe UI" w:eastAsia="Times New Roman" w:hAnsi="Segoe UI" w:cs="Segoe UI"/>
          <w:b/>
          <w:bCs/>
          <w:color w:val="000000"/>
          <w:sz w:val="36"/>
          <w:szCs w:val="36"/>
        </w:rPr>
      </w:pPr>
      <w:r w:rsidRPr="000D5F6C">
        <w:rPr>
          <w:rFonts w:ascii="Segoe UI" w:eastAsia="Times New Roman" w:hAnsi="Segoe UI" w:cs="Segoe UI"/>
          <w:b/>
          <w:bCs/>
          <w:color w:val="000000"/>
          <w:sz w:val="36"/>
          <w:szCs w:val="36"/>
        </w:rPr>
        <w:t>Practical significance</w:t>
      </w:r>
    </w:p>
    <w:p w14:paraId="3DFB1897" w14:textId="77777777" w:rsidR="000D5F6C" w:rsidRP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lastRenderedPageBreak/>
        <w:t xml:space="preserve">The decision is noteworthy for at least </w:t>
      </w:r>
      <w:r w:rsidR="00446437">
        <w:rPr>
          <w:rFonts w:ascii="Segoe UI" w:eastAsia="Times New Roman" w:hAnsi="Segoe UI" w:cs="Segoe UI"/>
          <w:color w:val="000000"/>
          <w:sz w:val="21"/>
          <w:szCs w:val="21"/>
        </w:rPr>
        <w:t>four</w:t>
      </w:r>
      <w:r w:rsidRPr="000D5F6C">
        <w:rPr>
          <w:rFonts w:ascii="Segoe UI" w:eastAsia="Times New Roman" w:hAnsi="Segoe UI" w:cs="Segoe UI"/>
          <w:color w:val="000000"/>
          <w:sz w:val="21"/>
          <w:szCs w:val="21"/>
        </w:rPr>
        <w:t xml:space="preserve"> reasons.</w:t>
      </w:r>
    </w:p>
    <w:p w14:paraId="64EB3B76" w14:textId="77777777" w:rsid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 xml:space="preserve">First, it </w:t>
      </w:r>
      <w:r w:rsidR="00204A54">
        <w:rPr>
          <w:rFonts w:ascii="Segoe UI" w:eastAsia="Times New Roman" w:hAnsi="Segoe UI" w:cs="Segoe UI"/>
          <w:color w:val="000000"/>
          <w:sz w:val="21"/>
          <w:szCs w:val="21"/>
        </w:rPr>
        <w:t xml:space="preserve">is the first reported decision that </w:t>
      </w:r>
      <w:r w:rsidR="002258CD">
        <w:rPr>
          <w:rFonts w:ascii="Segoe UI" w:eastAsia="Times New Roman" w:hAnsi="Segoe UI" w:cs="Segoe UI"/>
          <w:color w:val="000000"/>
          <w:sz w:val="21"/>
          <w:szCs w:val="21"/>
        </w:rPr>
        <w:t>finds</w:t>
      </w:r>
      <w:r w:rsidRPr="000D5F6C">
        <w:rPr>
          <w:rFonts w:ascii="Segoe UI" w:eastAsia="Times New Roman" w:hAnsi="Segoe UI" w:cs="Segoe UI"/>
          <w:color w:val="000000"/>
          <w:sz w:val="21"/>
          <w:szCs w:val="21"/>
        </w:rPr>
        <w:t xml:space="preserve"> that the court's "pay to play" jurisdiction </w:t>
      </w:r>
      <w:r w:rsidR="002258CD">
        <w:rPr>
          <w:rFonts w:ascii="Segoe UI" w:eastAsia="Times New Roman" w:hAnsi="Segoe UI" w:cs="Segoe UI"/>
          <w:color w:val="000000"/>
          <w:sz w:val="21"/>
          <w:szCs w:val="21"/>
        </w:rPr>
        <w:t>is impacted</w:t>
      </w:r>
      <w:r w:rsidRPr="000D5F6C">
        <w:rPr>
          <w:rFonts w:ascii="Segoe UI" w:eastAsia="Times New Roman" w:hAnsi="Segoe UI" w:cs="Segoe UI"/>
          <w:color w:val="000000"/>
          <w:sz w:val="21"/>
          <w:szCs w:val="21"/>
        </w:rPr>
        <w:t xml:space="preserve"> where a costs creditor seeks to prevent </w:t>
      </w:r>
      <w:r w:rsidR="002258CD">
        <w:rPr>
          <w:rFonts w:ascii="Segoe UI" w:eastAsia="Times New Roman" w:hAnsi="Segoe UI" w:cs="Segoe UI"/>
          <w:color w:val="000000"/>
          <w:sz w:val="21"/>
          <w:szCs w:val="21"/>
        </w:rPr>
        <w:t>further action</w:t>
      </w:r>
      <w:r w:rsidRPr="000D5F6C">
        <w:rPr>
          <w:rFonts w:ascii="Segoe UI" w:eastAsia="Times New Roman" w:hAnsi="Segoe UI" w:cs="Segoe UI"/>
          <w:color w:val="000000"/>
          <w:sz w:val="21"/>
          <w:szCs w:val="21"/>
        </w:rPr>
        <w:t xml:space="preserve"> against </w:t>
      </w:r>
      <w:r w:rsidR="002258CD">
        <w:rPr>
          <w:rFonts w:ascii="Segoe UI" w:eastAsia="Times New Roman" w:hAnsi="Segoe UI" w:cs="Segoe UI"/>
          <w:color w:val="000000"/>
          <w:sz w:val="21"/>
          <w:szCs w:val="21"/>
        </w:rPr>
        <w:t>a</w:t>
      </w:r>
      <w:r w:rsidRPr="000D5F6C">
        <w:rPr>
          <w:rFonts w:ascii="Segoe UI" w:eastAsia="Times New Roman" w:hAnsi="Segoe UI" w:cs="Segoe UI"/>
          <w:color w:val="000000"/>
          <w:sz w:val="21"/>
          <w:szCs w:val="21"/>
        </w:rPr>
        <w:t xml:space="preserve"> different defendant</w:t>
      </w:r>
      <w:r w:rsidR="00446437">
        <w:rPr>
          <w:rFonts w:ascii="Segoe UI" w:eastAsia="Times New Roman" w:hAnsi="Segoe UI" w:cs="Segoe UI"/>
          <w:color w:val="000000"/>
          <w:sz w:val="21"/>
          <w:szCs w:val="21"/>
        </w:rPr>
        <w:t xml:space="preserve">. </w:t>
      </w:r>
    </w:p>
    <w:p w14:paraId="2F54F935" w14:textId="77777777" w:rsidR="00446437" w:rsidRPr="000D5F6C" w:rsidRDefault="00446437" w:rsidP="000D5F6C">
      <w:pPr>
        <w:spacing w:before="100" w:beforeAutospacing="1" w:after="100" w:afterAutospacing="1" w:line="300" w:lineRule="atLeast"/>
        <w:rPr>
          <w:rFonts w:ascii="Segoe UI" w:eastAsia="Times New Roman" w:hAnsi="Segoe UI" w:cs="Segoe UI"/>
          <w:color w:val="000000"/>
          <w:sz w:val="21"/>
          <w:szCs w:val="21"/>
        </w:rPr>
      </w:pPr>
      <w:r>
        <w:rPr>
          <w:rFonts w:ascii="Segoe UI" w:eastAsia="Times New Roman" w:hAnsi="Segoe UI" w:cs="Segoe UI"/>
          <w:color w:val="000000"/>
          <w:sz w:val="21"/>
          <w:szCs w:val="21"/>
        </w:rPr>
        <w:t xml:space="preserve">Second, it is the first reported decision to identify a difference in the exercise of the pay-to-play jurisdiction between preventing a cost debtor from (i) pursing live litigation, and (ii) enforcing a final judgment.  </w:t>
      </w:r>
    </w:p>
    <w:p w14:paraId="69E929D6" w14:textId="77777777" w:rsidR="000D5F6C" w:rsidRPr="000D5F6C" w:rsidRDefault="00446437" w:rsidP="000D5F6C">
      <w:pPr>
        <w:spacing w:before="100" w:beforeAutospacing="1" w:after="100" w:afterAutospacing="1" w:line="300" w:lineRule="atLeast"/>
        <w:rPr>
          <w:rFonts w:ascii="Segoe UI" w:eastAsia="Times New Roman" w:hAnsi="Segoe UI" w:cs="Segoe UI"/>
          <w:color w:val="000000"/>
          <w:sz w:val="21"/>
          <w:szCs w:val="21"/>
        </w:rPr>
      </w:pPr>
      <w:r>
        <w:rPr>
          <w:rFonts w:ascii="Segoe UI" w:eastAsia="Times New Roman" w:hAnsi="Segoe UI" w:cs="Segoe UI"/>
          <w:color w:val="000000"/>
          <w:sz w:val="21"/>
          <w:szCs w:val="21"/>
        </w:rPr>
        <w:t>Third</w:t>
      </w:r>
      <w:r w:rsidR="000D5F6C" w:rsidRPr="000D5F6C">
        <w:rPr>
          <w:rFonts w:ascii="Segoe UI" w:eastAsia="Times New Roman" w:hAnsi="Segoe UI" w:cs="Segoe UI"/>
          <w:color w:val="000000"/>
          <w:sz w:val="21"/>
          <w:szCs w:val="21"/>
        </w:rPr>
        <w:t xml:space="preserve">, </w:t>
      </w:r>
      <w:r>
        <w:rPr>
          <w:rFonts w:ascii="Segoe UI" w:eastAsia="Times New Roman" w:hAnsi="Segoe UI" w:cs="Segoe UI"/>
          <w:color w:val="000000"/>
          <w:sz w:val="21"/>
          <w:szCs w:val="21"/>
        </w:rPr>
        <w:t>the decision</w:t>
      </w:r>
      <w:r w:rsidR="000D5F6C" w:rsidRPr="000D5F6C">
        <w:rPr>
          <w:rFonts w:ascii="Segoe UI" w:eastAsia="Times New Roman" w:hAnsi="Segoe UI" w:cs="Segoe UI"/>
          <w:color w:val="000000"/>
          <w:sz w:val="21"/>
          <w:szCs w:val="21"/>
        </w:rPr>
        <w:t xml:space="preserve"> highlights the importance of bringing cross-costs liabilities fully before the court when seeking debarring relief. </w:t>
      </w:r>
      <w:r w:rsidR="002258CD" w:rsidRPr="000D5F6C">
        <w:rPr>
          <w:rFonts w:ascii="Segoe UI" w:eastAsia="Times New Roman" w:hAnsi="Segoe UI" w:cs="Segoe UI"/>
          <w:color w:val="000000"/>
          <w:sz w:val="21"/>
          <w:szCs w:val="21"/>
        </w:rPr>
        <w:t xml:space="preserve"> </w:t>
      </w:r>
    </w:p>
    <w:p w14:paraId="30F6F0CD" w14:textId="77777777" w:rsidR="000D5F6C" w:rsidRPr="000D5F6C" w:rsidRDefault="00446437" w:rsidP="000D5F6C">
      <w:pPr>
        <w:spacing w:before="100" w:beforeAutospacing="1" w:after="100" w:afterAutospacing="1" w:line="300" w:lineRule="atLeast"/>
        <w:rPr>
          <w:rFonts w:ascii="Segoe UI" w:eastAsia="Times New Roman" w:hAnsi="Segoe UI" w:cs="Segoe UI"/>
          <w:color w:val="000000"/>
          <w:sz w:val="21"/>
          <w:szCs w:val="21"/>
        </w:rPr>
      </w:pPr>
      <w:r>
        <w:rPr>
          <w:rFonts w:ascii="Segoe UI" w:eastAsia="Times New Roman" w:hAnsi="Segoe UI" w:cs="Segoe UI"/>
          <w:color w:val="000000"/>
          <w:sz w:val="21"/>
          <w:szCs w:val="21"/>
        </w:rPr>
        <w:t>Fourth</w:t>
      </w:r>
      <w:r w:rsidR="000D5F6C" w:rsidRPr="000D5F6C">
        <w:rPr>
          <w:rFonts w:ascii="Segoe UI" w:eastAsia="Times New Roman" w:hAnsi="Segoe UI" w:cs="Segoe UI"/>
          <w:color w:val="000000"/>
          <w:sz w:val="21"/>
          <w:szCs w:val="21"/>
        </w:rPr>
        <w:t xml:space="preserve">, it confirms that the availability of ordinary enforcement methods will remain a powerful discretionary factor when considering whether </w:t>
      </w:r>
      <w:r w:rsidR="002258CD">
        <w:rPr>
          <w:rFonts w:ascii="Segoe UI" w:eastAsia="Times New Roman" w:hAnsi="Segoe UI" w:cs="Segoe UI"/>
          <w:color w:val="000000"/>
          <w:sz w:val="21"/>
          <w:szCs w:val="21"/>
        </w:rPr>
        <w:t>the</w:t>
      </w:r>
      <w:r w:rsidR="000D5F6C" w:rsidRPr="000D5F6C">
        <w:rPr>
          <w:rFonts w:ascii="Segoe UI" w:eastAsia="Times New Roman" w:hAnsi="Segoe UI" w:cs="Segoe UI"/>
          <w:color w:val="000000"/>
          <w:sz w:val="21"/>
          <w:szCs w:val="21"/>
        </w:rPr>
        <w:t xml:space="preserve"> exceptional</w:t>
      </w:r>
      <w:r w:rsidR="002258CD">
        <w:rPr>
          <w:rFonts w:ascii="Segoe UI" w:eastAsia="Times New Roman" w:hAnsi="Segoe UI" w:cs="Segoe UI"/>
          <w:color w:val="000000"/>
          <w:sz w:val="21"/>
          <w:szCs w:val="21"/>
        </w:rPr>
        <w:t xml:space="preserve"> “pay-to-play”</w:t>
      </w:r>
      <w:r w:rsidR="000D5F6C" w:rsidRPr="000D5F6C">
        <w:rPr>
          <w:rFonts w:ascii="Segoe UI" w:eastAsia="Times New Roman" w:hAnsi="Segoe UI" w:cs="Segoe UI"/>
          <w:color w:val="000000"/>
          <w:sz w:val="21"/>
          <w:szCs w:val="21"/>
        </w:rPr>
        <w:t xml:space="preserve"> relief should be granted. </w:t>
      </w:r>
      <w:r w:rsidR="002258CD" w:rsidRPr="000D5F6C">
        <w:rPr>
          <w:rFonts w:ascii="Segoe UI" w:eastAsia="Times New Roman" w:hAnsi="Segoe UI" w:cs="Segoe UI"/>
          <w:color w:val="000000"/>
          <w:sz w:val="21"/>
          <w:szCs w:val="21"/>
        </w:rPr>
        <w:t xml:space="preserve"> </w:t>
      </w:r>
    </w:p>
    <w:p w14:paraId="0C80BE32" w14:textId="77777777" w:rsidR="000D5F6C" w:rsidRDefault="000D5F6C" w:rsidP="000D5F6C">
      <w:pPr>
        <w:spacing w:before="100" w:beforeAutospacing="1" w:after="100" w:afterAutospacing="1" w:line="300" w:lineRule="atLeast"/>
        <w:rPr>
          <w:rFonts w:ascii="Segoe UI" w:eastAsia="Times New Roman" w:hAnsi="Segoe UI" w:cs="Segoe UI"/>
          <w:color w:val="000000"/>
          <w:sz w:val="21"/>
          <w:szCs w:val="21"/>
        </w:rPr>
      </w:pPr>
      <w:r w:rsidRPr="000D5F6C">
        <w:rPr>
          <w:rFonts w:ascii="Segoe UI" w:eastAsia="Times New Roman" w:hAnsi="Segoe UI" w:cs="Segoe UI"/>
          <w:color w:val="000000"/>
          <w:sz w:val="21"/>
          <w:szCs w:val="21"/>
        </w:rPr>
        <w:t>For litigants and practitioners, </w:t>
      </w:r>
      <w:r w:rsidRPr="002258CD">
        <w:rPr>
          <w:rFonts w:ascii="Segoe UI" w:eastAsia="Times New Roman" w:hAnsi="Segoe UI" w:cs="Segoe UI"/>
          <w:b/>
          <w:bCs/>
          <w:color w:val="000000"/>
          <w:sz w:val="21"/>
          <w:szCs w:val="21"/>
          <w:u w:val="single"/>
        </w:rPr>
        <w:t>Gupta v Shah [2026]</w:t>
      </w:r>
      <w:r w:rsidRPr="000D5F6C">
        <w:rPr>
          <w:rFonts w:ascii="Segoe UI" w:eastAsia="Times New Roman" w:hAnsi="Segoe UI" w:cs="Segoe UI"/>
          <w:b/>
          <w:bCs/>
          <w:color w:val="000000"/>
          <w:sz w:val="21"/>
          <w:szCs w:val="21"/>
        </w:rPr>
        <w:t xml:space="preserve"> </w:t>
      </w:r>
      <w:r w:rsidRPr="002258CD">
        <w:rPr>
          <w:rFonts w:ascii="Segoe UI" w:eastAsia="Times New Roman" w:hAnsi="Segoe UI" w:cs="Segoe UI"/>
          <w:bCs/>
          <w:color w:val="000000"/>
          <w:sz w:val="21"/>
          <w:szCs w:val="21"/>
        </w:rPr>
        <w:t>EWHC 2064 (Ch)</w:t>
      </w:r>
      <w:r w:rsidRPr="000D5F6C">
        <w:rPr>
          <w:rFonts w:ascii="Segoe UI" w:eastAsia="Times New Roman" w:hAnsi="Segoe UI" w:cs="Segoe UI"/>
          <w:color w:val="000000"/>
          <w:sz w:val="21"/>
          <w:szCs w:val="21"/>
        </w:rPr>
        <w:t> is an important addition to the developing authorities on costs-based debarring orders and the limits of the court's inherent jurisdiction.</w:t>
      </w:r>
      <w:r w:rsidR="002258CD" w:rsidRPr="000D5F6C">
        <w:rPr>
          <w:rFonts w:ascii="Segoe UI" w:eastAsia="Times New Roman" w:hAnsi="Segoe UI" w:cs="Segoe UI"/>
          <w:color w:val="000000"/>
          <w:sz w:val="21"/>
          <w:szCs w:val="21"/>
        </w:rPr>
        <w:t xml:space="preserve"> </w:t>
      </w:r>
    </w:p>
    <w:p w14:paraId="64554189" w14:textId="77777777" w:rsidR="0065671A" w:rsidRDefault="0065671A" w:rsidP="000D5F6C">
      <w:pPr>
        <w:spacing w:before="100" w:beforeAutospacing="1" w:after="100" w:afterAutospacing="1" w:line="300" w:lineRule="atLeast"/>
        <w:rPr>
          <w:rFonts w:ascii="Segoe UI" w:eastAsia="Times New Roman" w:hAnsi="Segoe UI" w:cs="Segoe UI"/>
          <w:color w:val="000000"/>
          <w:sz w:val="21"/>
          <w:szCs w:val="21"/>
        </w:rPr>
      </w:pPr>
    </w:p>
    <w:p w14:paraId="26320352" w14:textId="65677EE0" w:rsidR="0065671A" w:rsidRPr="0065671A" w:rsidRDefault="0065671A" w:rsidP="000D5F6C">
      <w:pPr>
        <w:spacing w:before="100" w:beforeAutospacing="1" w:after="100" w:afterAutospacing="1" w:line="300" w:lineRule="atLeast"/>
        <w:rPr>
          <w:rFonts w:ascii="Segoe UI" w:eastAsia="Times New Roman" w:hAnsi="Segoe UI" w:cs="Segoe UI"/>
          <w:b/>
          <w:bCs/>
          <w:i/>
          <w:iCs/>
          <w:color w:val="000000"/>
          <w:sz w:val="21"/>
          <w:szCs w:val="21"/>
        </w:rPr>
      </w:pPr>
      <w:r w:rsidRPr="0065671A">
        <w:rPr>
          <w:rFonts w:ascii="Segoe UI" w:eastAsia="Times New Roman" w:hAnsi="Segoe UI" w:cs="Segoe UI"/>
          <w:b/>
          <w:bCs/>
          <w:i/>
          <w:iCs/>
          <w:color w:val="000000"/>
          <w:sz w:val="21"/>
          <w:szCs w:val="21"/>
        </w:rPr>
        <w:t>Marc Glover</w:t>
      </w:r>
      <w:r w:rsidRPr="0065671A">
        <w:rPr>
          <w:rFonts w:ascii="Segoe UI" w:eastAsia="Times New Roman" w:hAnsi="Segoe UI" w:cs="Segoe UI"/>
          <w:b/>
          <w:bCs/>
          <w:i/>
          <w:iCs/>
          <w:color w:val="000000"/>
          <w:sz w:val="21"/>
          <w:szCs w:val="21"/>
        </w:rPr>
        <w:br/>
        <w:t>September 2026</w:t>
      </w:r>
    </w:p>
    <w:p w14:paraId="420D2FD9" w14:textId="77777777" w:rsidR="00000000" w:rsidRDefault="00000000"/>
    <w:sectPr w:rsidR="00181DD4" w:rsidSect="0002053F">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altName w:val="Cambria"/>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5738D"/>
    <w:multiLevelType w:val="multilevel"/>
    <w:tmpl w:val="5942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5020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F6C"/>
    <w:rsid w:val="0002053F"/>
    <w:rsid w:val="000A38A7"/>
    <w:rsid w:val="000B688C"/>
    <w:rsid w:val="000B77CD"/>
    <w:rsid w:val="000D5F6C"/>
    <w:rsid w:val="00124302"/>
    <w:rsid w:val="00204A54"/>
    <w:rsid w:val="002258CD"/>
    <w:rsid w:val="00446437"/>
    <w:rsid w:val="00456393"/>
    <w:rsid w:val="004D6376"/>
    <w:rsid w:val="005B538B"/>
    <w:rsid w:val="00611FFE"/>
    <w:rsid w:val="006364C0"/>
    <w:rsid w:val="0065671A"/>
    <w:rsid w:val="008B4932"/>
    <w:rsid w:val="00BC3042"/>
    <w:rsid w:val="00EA35CA"/>
    <w:rsid w:val="00F74644"/>
    <w:rsid w:val="00FF4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8A732"/>
  <w14:defaultImageDpi w14:val="32767"/>
  <w15:chartTrackingRefBased/>
  <w15:docId w15:val="{38B35BE1-AD78-8848-B48A-E713CA7C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D5F6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D5F6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D5F6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F6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D5F6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D5F6C"/>
    <w:rPr>
      <w:rFonts w:ascii="Times New Roman" w:eastAsia="Times New Roman" w:hAnsi="Times New Roman" w:cs="Times New Roman"/>
      <w:b/>
      <w:bCs/>
      <w:sz w:val="27"/>
      <w:szCs w:val="27"/>
    </w:rPr>
  </w:style>
  <w:style w:type="character" w:styleId="Strong">
    <w:name w:val="Strong"/>
    <w:basedOn w:val="DefaultParagraphFont"/>
    <w:uiPriority w:val="22"/>
    <w:qFormat/>
    <w:rsid w:val="000D5F6C"/>
    <w:rPr>
      <w:b/>
      <w:bCs/>
    </w:rPr>
  </w:style>
  <w:style w:type="paragraph" w:styleId="NormalWeb">
    <w:name w:val="Normal (Web)"/>
    <w:basedOn w:val="Normal"/>
    <w:uiPriority w:val="99"/>
    <w:semiHidden/>
    <w:unhideWhenUsed/>
    <w:rsid w:val="000D5F6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D5F6C"/>
  </w:style>
  <w:style w:type="character" w:styleId="Hyperlink">
    <w:name w:val="Hyperlink"/>
    <w:basedOn w:val="DefaultParagraphFont"/>
    <w:uiPriority w:val="99"/>
    <w:unhideWhenUsed/>
    <w:rsid w:val="000D5F6C"/>
    <w:rPr>
      <w:color w:val="0000FF"/>
      <w:u w:val="single"/>
    </w:rPr>
  </w:style>
  <w:style w:type="character" w:styleId="FollowedHyperlink">
    <w:name w:val="FollowedHyperlink"/>
    <w:basedOn w:val="DefaultParagraphFont"/>
    <w:uiPriority w:val="99"/>
    <w:semiHidden/>
    <w:unhideWhenUsed/>
    <w:rsid w:val="008B4932"/>
    <w:rPr>
      <w:color w:val="954F72" w:themeColor="followedHyperlink"/>
      <w:u w:val="single"/>
    </w:rPr>
  </w:style>
  <w:style w:type="character" w:styleId="UnresolvedMention">
    <w:name w:val="Unresolved Mention"/>
    <w:basedOn w:val="DefaultParagraphFont"/>
    <w:uiPriority w:val="99"/>
    <w:rsid w:val="006567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558003">
      <w:bodyDiv w:val="1"/>
      <w:marLeft w:val="0"/>
      <w:marRight w:val="0"/>
      <w:marTop w:val="0"/>
      <w:marBottom w:val="0"/>
      <w:divBdr>
        <w:top w:val="none" w:sz="0" w:space="0" w:color="auto"/>
        <w:left w:val="none" w:sz="0" w:space="0" w:color="auto"/>
        <w:bottom w:val="none" w:sz="0" w:space="0" w:color="auto"/>
        <w:right w:val="none" w:sz="0" w:space="0" w:color="auto"/>
      </w:divBdr>
      <w:divsChild>
        <w:div w:id="1759643328">
          <w:marLeft w:val="0"/>
          <w:marRight w:val="0"/>
          <w:marTop w:val="0"/>
          <w:marBottom w:val="0"/>
          <w:divBdr>
            <w:top w:val="none" w:sz="0" w:space="0" w:color="auto"/>
            <w:left w:val="none" w:sz="0" w:space="0" w:color="auto"/>
            <w:bottom w:val="none" w:sz="0" w:space="0" w:color="auto"/>
            <w:right w:val="none" w:sz="0" w:space="0" w:color="auto"/>
          </w:divBdr>
          <w:divsChild>
            <w:div w:id="13512939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ilii.org/cgi-bin/format.cgi?doc=/ew/cases/EWHC/Ch/2024/1189.html&amp;query=(.2024.)+AND+(EWHC)+AND+(1189)," TargetMode="External"/><Relationship Id="rId3" Type="http://schemas.openxmlformats.org/officeDocument/2006/relationships/settings" Target="settings.xml"/><Relationship Id="rId7" Type="http://schemas.openxmlformats.org/officeDocument/2006/relationships/hyperlink" Target="https://www.bailii.org/cgi-bin/format.cgi?doc=/ew/cases/EWHC/Ch/2023/540.html&amp;query=(.2023.)+AND+(EWHC)+AND+(540)+AND+((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ilii.org/cgi-bin/format.cgi?doc=/ew/cases/EWHC/Ch/2026/2064.html&amp;query=(.2026.)+AND+(EWHC)+AND+(2064)"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Glover</dc:creator>
  <cp:keywords/>
  <dc:description/>
  <cp:lastModifiedBy>Sally Wollaston</cp:lastModifiedBy>
  <cp:revision>2</cp:revision>
  <dcterms:created xsi:type="dcterms:W3CDTF">2026-09-03T07:42:00Z</dcterms:created>
  <dcterms:modified xsi:type="dcterms:W3CDTF">2026-09-03T07:42:00Z</dcterms:modified>
</cp:coreProperties>
</file>